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0D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012D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附件3：</w:t>
      </w:r>
    </w:p>
    <w:p w14:paraId="0B74D4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6CA65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u w:val="none"/>
        </w:rPr>
        <w:t>关于支持肉牛肉羊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u w:val="none"/>
          <w:lang w:eastAsia="zh-CN"/>
        </w:rPr>
        <w:t>全产业链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u w:val="none"/>
        </w:rPr>
        <w:t>发展</w:t>
      </w:r>
    </w:p>
    <w:p w14:paraId="2B624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u w:val="none"/>
          <w:lang w:val="en-US" w:eastAsia="zh-CN"/>
        </w:rPr>
        <w:t>八条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u w:val="none"/>
        </w:rPr>
        <w:t>措施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u w:val="none"/>
          <w:lang w:eastAsia="zh-CN"/>
        </w:rPr>
        <w:t>（征求意见稿）</w:t>
      </w:r>
    </w:p>
    <w:p w14:paraId="4FA91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</w:pPr>
    </w:p>
    <w:p w14:paraId="12E3B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进一步推动肉牛肉羊产业高质量发展，不断提高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产品附加值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技术创新能力‌，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着力延长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产业链条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充分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发挥产业优势、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释放精深加工在保障优质畜产品供给的关键作用‌，现制定以下支持政策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。</w:t>
      </w:r>
    </w:p>
    <w:p w14:paraId="4311E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一、加强种源基地建设</w:t>
      </w:r>
    </w:p>
    <w:p w14:paraId="6BF8F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（一）支持良种繁育。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支持核心育种场和重点实验室建设，对认定的国家级肉牛核心育种场给予一次性奖励200万元，对认定的自治区级肉牛核心育种场给予一次性奖励100万元；对认定的国家重点实验室给予每年300万元奖励，连续奖励3年。对使用基因编辑、胚胎移植、克隆等技术，在市内繁育优质肉牛、罕山白绒山羊、昭乌达肉羊的养殖场（户、合作社）分别给予成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犊牛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不超</w:t>
      </w:r>
      <w:r>
        <w:rPr>
          <w:rFonts w:hint="eastAsia" w:ascii="仿宋_GB2312" w:hAnsi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4000元/头、成活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羔羊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不超</w:t>
      </w:r>
      <w:r>
        <w:rPr>
          <w:rFonts w:hint="eastAsia" w:ascii="仿宋_GB2312" w:hAnsi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2000元/只补贴。享受补贴的母牛犊4年内不得出售、母羊羔3年内不得出售，确需出售或处理的须经旗县区农牧部门批准，并由农牧部门会同财政部门收回相应补贴资金。</w:t>
      </w:r>
    </w:p>
    <w:p w14:paraId="3C6D80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（二）支持良种推广。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在</w:t>
      </w:r>
      <w:r>
        <w:rPr>
          <w:rFonts w:hint="eastAsia" w:ascii="仿宋_GB2312" w:hAnsi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确定的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重点旗县区，对养殖主体购买本地培育的种公羊用于繁殖的，给予适当补贴。补贴标准由旗县区农牧</w:t>
      </w:r>
      <w:r>
        <w:rPr>
          <w:rFonts w:hint="eastAsia" w:ascii="仿宋_GB2312" w:hAnsi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结合市场评估核定，单只补贴上限为3000元。</w:t>
      </w:r>
    </w:p>
    <w:p w14:paraId="695F3C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（责任单位：市农牧局、财政局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、科技局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）</w:t>
      </w:r>
    </w:p>
    <w:p w14:paraId="3C971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</w:rPr>
        <w:t>稳定基础产能</w:t>
      </w:r>
    </w:p>
    <w:p w14:paraId="47CDF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（三）保护基础母畜产能。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每年投入100万元，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对市内基础母牛存栏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00头以上</w:t>
      </w:r>
      <w:r>
        <w:rPr>
          <w:rFonts w:hint="eastAsia" w:ascii="仿宋_GB2312" w:hAnsi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全部使用项目补贴优质冻精冷配且在大数据平台备案的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养殖场（户、合作社）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给予奖补，以最终享受奖补养殖场户数量平均分配确定奖补标准。</w:t>
      </w:r>
    </w:p>
    <w:p w14:paraId="2F9BB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（四）支持本地优质品种母羊扩群增量。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每年投入200万元</w:t>
      </w:r>
      <w:r>
        <w:rPr>
          <w:rFonts w:hint="eastAsia" w:ascii="仿宋_GB2312" w:hAnsi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对市内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能繁母羊存栏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00只以上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且实施数字化管理的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优质昭乌达肉羊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、罕山白绒山羊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养殖场户给予奖补；对市内年出栏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00只且全部在市内进行屠宰的昭乌达肉羊、罕山白绒山羊育肥场户给予一次性奖补。以最终享受奖补养殖场户及育肥场户数量平均分配确定奖补标准。</w:t>
      </w:r>
    </w:p>
    <w:p w14:paraId="4A93F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（责任单位：市农牧局、财政局）</w:t>
      </w:r>
    </w:p>
    <w:p w14:paraId="626B4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、支持本地屠宰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且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精深加工</w:t>
      </w:r>
    </w:p>
    <w:p w14:paraId="32404F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（五）对肉牛屠宰精深加工给予补贴。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对年屠宰量达到5000头（含5000头）以上的市内肉牛屠宰企业，屠宰且精深加工市内育肥牛的给予阶梯式补贴。年屠宰量在5000头</w:t>
      </w:r>
      <w:r>
        <w:rPr>
          <w:rFonts w:hint="eastAsia" w:ascii="仿宋_GB2312" w:hAnsi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1万头的（含1万头），每头牛补贴100元；年屠宰量1万头</w:t>
      </w:r>
      <w:r>
        <w:rPr>
          <w:rFonts w:hint="eastAsia" w:ascii="仿宋_GB2312" w:hAnsi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2万头的（含2万头），每头牛补贴200元；年屠宰量2万头以上的，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每头牛补贴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年屠宰量达到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5万头以上的，一次性再予以100万元奖励。每个企业最高补贴1000万元。</w:t>
      </w:r>
    </w:p>
    <w:p w14:paraId="098DDD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（六）对肉羊屠宰精深加工给予补贴。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对年屠宰量在15万只</w:t>
      </w:r>
      <w:r>
        <w:rPr>
          <w:rFonts w:hint="eastAsia" w:ascii="仿宋_GB2312" w:hAnsi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50万只（含15万只）的市内肉羊屠宰企业，屠宰且进行精深加工市内育肥羊的一次性补贴50万元。同时以上年度屠宰加工数量为基数，年屠宰量每增加5万只，给予10万元补贴。每个企业最高补贴100万元。</w:t>
      </w:r>
    </w:p>
    <w:p w14:paraId="1D4597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对年屠宰量在50万只以上（含50万只）的市内肉羊屠宰企业，屠宰且进行精深加工市内育肥羊的一次性补贴100万元。同时以上年度屠宰加工数量为基数，年屠宰量每增加2万只，给予20万元补贴。每个企业最高补贴200万元。</w:t>
      </w:r>
    </w:p>
    <w:p w14:paraId="73DC77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（责任单位：市农牧局、财政局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、市场监管局、工信局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）</w:t>
      </w:r>
    </w:p>
    <w:p w14:paraId="5171B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、支持新产品研发</w:t>
      </w:r>
    </w:p>
    <w:p w14:paraId="1557F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（七）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</w:rPr>
        <w:t>鼓励企业自主研发或与科研机构合作，开展产品精深加工</w:t>
      </w:r>
      <w:r>
        <w:rPr>
          <w:rFonts w:hint="eastAsia" w:ascii="仿宋_GB2312" w:hAnsi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</w:rPr>
        <w:t>重点发展中央厨房、预制菜等业态</w:t>
      </w:r>
      <w:r>
        <w:rPr>
          <w:rFonts w:hint="eastAsia" w:ascii="仿宋_GB2312" w:hAnsi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</w:rPr>
        <w:t>开发皮毛骨血等副产品综合加工利用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提高产品附加值。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</w:rPr>
        <w:t>每开发一个新品且年销售额100万元以上，奖励5万元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。同一企业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</w:rPr>
        <w:t>最高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奖励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100万元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</w:rPr>
        <w:t>。</w:t>
      </w:r>
    </w:p>
    <w:p w14:paraId="390D5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（责任单位：市农牧局、财政局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、科技局、市场监管局、工信局）</w:t>
      </w:r>
    </w:p>
    <w:p w14:paraId="0019FE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强化金融支持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服务</w:t>
      </w:r>
    </w:p>
    <w:p w14:paraId="2D1CCC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（八）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</w:rPr>
        <w:t>对年主营业务收入达到5000万元，从国家金融监管部门批准设立的金融机构借入贷款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用于收购原材料、科技研发、设备升级等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肉牛、肉羊精深加工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</w:rPr>
        <w:t>企业，按照一年期贷款市场报价利率（LPR）的70%且不超过2%的利率，给予每年不超过100万元贴息支持。</w:t>
      </w:r>
    </w:p>
    <w:p w14:paraId="38708E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（责任单位：市农牧局、财政局）</w:t>
      </w:r>
    </w:p>
    <w:p w14:paraId="285AC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政策实施按照“先建后补”原则据实补助，奖补资金由市本级财政全额解决；符合或已享受国家、自治区有关政策条款支持的同一生产经营单位或个人，不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享受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市级政策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。政策实施期限暂定为</w:t>
      </w:r>
      <w:r>
        <w:rPr>
          <w:rFonts w:hint="default" w:ascii="仿宋_GB2312" w:hAnsi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年，后续政策将视绩效考核情况、资金规模等情况决定是否继续实施。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由市农牧局负责制定实施细则并组织实施，各部门按职责分工负责。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各类奖补项目结余资金，可依据中央、自治区政策文件精神，支持良种繁育体系建设，保障肉牛肉羊产业协调、均衡发展。</w:t>
      </w:r>
    </w:p>
    <w:p w14:paraId="5A9AD62D"/>
    <w:sectPr>
      <w:headerReference r:id="rId3" w:type="default"/>
      <w:footerReference r:id="rId4" w:type="default"/>
      <w:pgSz w:w="11906" w:h="16838"/>
      <w:pgMar w:top="1797" w:right="1474" w:bottom="1797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4E9B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1DF1F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10D78"/>
    <w:rsid w:val="5E24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8242</Words>
  <Characters>8636</Characters>
  <Lines>0</Lines>
  <Paragraphs>0</Paragraphs>
  <TotalTime>0</TotalTime>
  <ScaleCrop>false</ScaleCrop>
  <LinksUpToDate>false</LinksUpToDate>
  <CharactersWithSpaces>8645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2026-02-12T02:35:00Z</dcterms:created>
  <dc:creator>admin</dc:creator>
  <cp:lastModifiedBy>演示人</cp:lastModifiedBy>
  <dcterms:modified xsi:type="dcterms:W3CDTF">2026-02-12T02:57:17Z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eyJoZGlkIjoiODIyNmFhZDNjMWNiMDhlNGQyNDE4MzlkYWViM2M3YTUiLCJ1c2VySWQiOiI4MDAzNjQyMDUifQ==</vt:lpwstr>
  </property>
  <property fmtid="{D5CDD505-2E9C-101B-9397-08002B2CF9AE}" pid="4" name="ICV">
    <vt:lpwstr>E45370C6546747D5B5ABF176FCB6E53D_12</vt:lpwstr>
  </property>
</Properties>
</file>