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  <w:t>赤峰市合作社农牧业补贴资金管理办法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auto"/>
          <w:sz w:val="28"/>
          <w:szCs w:val="28"/>
        </w:rPr>
        <w:t>（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征求意见稿</w:t>
      </w:r>
      <w:r>
        <w:rPr>
          <w:rFonts w:hint="default" w:ascii="Times New Roman" w:hAnsi="Times New Roman" w:eastAsia="方正小标宋简体" w:cs="Times New Roman"/>
          <w:color w:val="auto"/>
          <w:sz w:val="28"/>
          <w:szCs w:val="28"/>
        </w:rPr>
        <w:t>）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第一章  总则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第一条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切实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做好全市合作社及家庭农场补贴资金管理使用情况专项审计发现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问题整改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，规范全市合作社农牧业补贴资金（以下简称“补贴资金”）管理使用，针对审计指出的补贴方案不细化、合作社选用标准不明确、选用主体不合规等突出问题，强化财政专项资金监管效能，确保资金安全高效运行、政策精准落地，充分发挥补贴资金对合作社提质增效、联农带农的支撑作用，结合我市农牧业发展实际，制定本办法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第二条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本办法所称补贴资金，是指各级财政安排用于支持合作社发展农牧业生产、提质增效、能力提升等相关的专项资金，包括但不限于生产补助、设施建设补贴、技术推广补贴、联农带农奖励等。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第三条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补贴资金管理遵循“制度管权、管事、管人”原则，严格恪守公平竞争、公开透明、公平公正、精准高效、刚性约束、便民利民原则，落实合作社发展扶持相关要求，做到补贴方案细化可操作、选用标准明确可落地、主体筛选严格可追溯，全面提升补贴资金管理规范化、精细化水平，保障各类符合条件的合作社平等参与补贴申报，杜绝歧视性、排他性条款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第四条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市农牧局牵头负责补贴资金的统筹管理、制度制定、流程规范和督导检查；市财政局负责补贴资金的预算安排、拨付监管和绩效评价；各旗县区农牧局、财政局负责本辖区补贴资金的具体实施、主体审核、资金兑付和日常监管，确保政策落地见效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第二章  补贴方案管理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第五条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各旗县区结合本地农牧业发展实际，制定具体实施方案，不得与上级要求抵触，需要报市农牧局备案的，备案后方可实施。未制定细化实施方案的，不得组织补贴申报工作。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第六条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补贴方案必须明确以下核心内容，杜绝模糊表述和自由裁量空间：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（一）补贴对象：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明确补贴针对的合作社类型（粮油生产、畜禽养殖、特色种植、农机服务等）、经营规模、主营范围等，区分普通合作社与示范合作社，明确不同类型合作社的补贴适配条件。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（二）补贴标准：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实行分类分档量化补贴，明确各类合作社补贴基数、核算方式、兑付上限、发放频次，严格按照财政转移支付资金管理相关规定要求进行补贴，严防人为“垒大户”。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（三）补贴范围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：实行“正面清单+负面清单”双向管理，明确补贴资金使用边界。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.正面清单：农牧业生产能力提升（农机装备更新、农机库棚、烘干仓储、分选包装等生产性设施建设）、良种引进、技术培训与推广、品牌化经营（商标注册、绿色/有机/地理标志农产品认证）、农产品加工、联农带农补助等相关支出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.负面清单：严格按照农业农村部、内蒙古自治区农牧厅专项资金管理要求，严禁以拨代支、挤占挪用、虚报冒领补贴资金；不得用于支付中介费用、兴建楼堂馆所、弥补预算缺口、发放人员工资、偿还债务等与合作社农牧业生产经营提质增效无关的支出，明确违规处置措施，确保资金专款专用，符合财政资金管理相关法律法规要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（四）申报流程：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明确申报、受理、初审、核验、评审、公示、上报、复核、批复、拨付、档案管理全流程时限和责任主体，形成闭环管理。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（五）申报材料：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明确各类合作社需提交的材料清单，要求齐全、规范、真实，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（六）兑付方式：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严格落实农业农村部、财政部“直达快付”工作要求，推行财政资金“直达快付”，直接拨付至合作社对公账户，杜绝中间环节截留、挪用；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第七条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补贴方案需通过官方网站、微信公众号、镇村公示栏、入户告知等多渠道公开，接受社会监督，公示内容需包含各类合作社补贴分档标准、核算依据，确保公开透明。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第三章  合作社选用标准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 xml:space="preserve">第八条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合作社选用实行“统一标准、分类筛选、从严把关、平等参与”原则，严格按照农业农村部、内蒙古自治区农牧厅关于合作社培育、补贴申报的相关标准，各旗县区不得擅自放宽或抬高门槛，不得设置歧视性、排他性条件，确保同类型、同条件合作社享有同等待遇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第九条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合作社选用基本标准：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（一）依法注册登记满2年以上，取得营业执照，经营范围包含农牧业生产、加工、服务等相关内容，有固定经营场所和健全的组织机构；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（二）主营农牧业相关业务，经营规模适度，符合本地农牧业发展规划，生产经营状况良好，具有可持续发展能力；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三）财务管理规范，配备专职会计或委托代理记账，账目齐全清晰，按要求公示年度报告和财务收支情况，合作社可分配盈余按交易量（额）返还不低于60%，严格遵循《中华人民共和国农民专业合作社法》及内蒙古自治区农牧厅关于合作社财务管理的相关规定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（四）内部制度健全，参照示范合作社章程制定本社章程，组织机构正常运转，每年至少召开1次成员大会，严格执行一人一票制，成员权利义务明确；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（五）实行标准化生产，产品质量可追溯，无重大质量安全事故，无违规经营记录；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（六）联农带农成效明显，能够带动周边农牧户（尤其是脱贫人口、监测户）发展，建立稳定的利益联结机制；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（七）信用状况良好，未被列入经营异常名录、失信被执行人名单，无虚报冒领、挤占挪用财政资金等违规违纪记录。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第十条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不予选用情形：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（一）注册登记不满2年，或经营范围与农牧业无关的；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（二）经营规模未达到分类选用标准，或生产经营状况不佳、濒临停业的；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（三）财务管理混乱，账目不全，未按规定进行财务公示，或盈余返还未达到要求的；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（四）无固定经营场所，组织机构不健全，未正常开展经营活动的；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（五）联农带农作用不明显，未带动农牧户发展，或利益联结机制不健全的；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（六）存在虚报冒领、挤占挪用财政资金等违规违纪记录，或被列入经营异常名录、失信被执行人名单的；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（七）未按要求完成农牧业生产相关任务，或存在重大质量安全事故、违规经营行为的。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第四章 合作社选用流程与审核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第十一条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合作社选用实行“自愿申报、逐级审核、公开公示、动态管理”流程，确保选用过程规范、结果公正，从源头杜绝不合格主体享受补贴。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第十二条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自愿申报：符合选用标准的合作社，在规定期限内，向所在地村级组织提交书面申报材料，对申报材料的真实性、完整性、合法性负责，严禁弄虚作假、伪造材料。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第十三条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建立“村级初审、乡镇复核、县级审定、市级抽查”四级联动审核机制，严格落实“谁审核、谁签字、谁负责”责任追究机制。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第十四条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县级审定确定的拟补贴合作社名单，需在当地官方媒体、政府网站、乡镇政务栏、村级公示栏同步公示，公示期不少于7个工作日。公示内容包括合作社名称、经营规模、申报补贴金额、评审意见、单产提升及联农带农成效等，公开市、县两级异议受理渠道（联系电话、邮箱）及复核程序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公示期间收到异议的，受理单位需在3个工作日内受理、7个工作日内复核反馈；公示无异议的，报市农牧局复核备案，市级复核通过后同步公示，无异议后正式确定为补贴受益主体。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第十五条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建立市、县农牧部门与市场监管、税务、自然资源、征信等部门信息共享、联合核查机制，严格落实关于合作社监管的相关要求，交叉核验申报合作社的营业执照、税务登记、经营用地合规性、信用记录、经营异常状态等信息，自动筛查剔除资格不符、失信惩戒、违规经营的合作社，保障补贴资金使用安全，维护公平竞争环境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第十六条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建立补贴受益合作社名录动态管理机制，对获得补贴的合作社，常态化监测其生产经营、补贴资金使用、联农带农等情况；对不再符合选用标准、违规使用补贴资金、弄虚作假的，立即取消补贴资格，列入新型农业经营主体失信黑名单，3年内不得申报各类农牧业财政补贴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第五章  监督检查与责任追究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第十七条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建立常态化监督检查机制，市、旗县区农牧局将补贴方案细化落实、合作社选用标准执行、资格审核、资金使用管理、公示公开等情况，纳入日常监管和年度绩效考核，每年开展一次专项督查、一次全面排查，确保政策执行不走样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第十八条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市农牧局相关科室要适时开展绩效评价，将补贴资金使用效率、合作社培育成效、联农带农作用发挥、中小合作社扶持情况、补贴标准执行合规性等纳入评价内容。重点核查补贴标准是否契合上级政策、是否兼顾中小主体、是否存在“垒大户”现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考核结果作为下一年度财政转移支付资金分配的重要依据，确保补贴标准落地见效。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第十九条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明确从严问责情形，对存在下列行为的，严肃追究相关单位和责任人责任：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（一）未按要求制定补贴细化实施方案，或方案与市级要求抵触的；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（二）擅自放宽或抬高合作社选用标准，导致不合格主体获得补贴的；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（三）审核把关不严，未履行审核程序，或弄虚作假、推诿失职的；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（四）补贴资金拨付滞后、滞留，或存在截留、挤占、挪用、套取补贴资金等违规违纪行为的，按照相关规定严肃处理；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（五）未按要求公开公示补贴相关信息，或对异议举报未及时受理、复核的；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（六）受理中介机构直接代理申报，或允许补贴资金用于支付中介费用的。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第二十条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对弄虚作假、伪造材料、骗取补贴资金的合作社，取消补贴资格，依法追回已发放资金，列入失信黑名单，3年内不得申报各类农牧业财政补贴，严格遵循农业农村部、内蒙古自治区农牧厅关于失信主体惩戒的相关规定；涉嫌违法的，移交司法机关处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第二十一条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对审计、督查、群众举报发现的问题，建立台账、挂牌督办，明确整改时限、责任主体，严格执行“整改—复核—销号”闭环流程，确保问题整改到位、同类问题不复发。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第六章 实施与附则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第二十二条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本办法由赤峰市农牧局负责解释。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第二十三条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本办法未尽事宜，按国家、自治区相关规定执行；与上级规定不一致之处，以上级政策为准。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left"/>
        <w:textAlignment w:val="auto"/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第二十四条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本办法自发布之日起施行。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176EACA-E4E3-44A0-92C1-C514FC89479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2" w:fontKey="{9DE19314-1A23-4144-AF98-662642F9DF1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5FEB916-21B5-482C-8685-94815DDC17F5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4" w:fontKey="{EBC5AB59-6F5B-4304-8FB9-BB096FDA480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FF1E90A8-FE29-4318-A589-5F3B6ABB12A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664B4D"/>
    <w:rsid w:val="05AB54DA"/>
    <w:rsid w:val="118B0669"/>
    <w:rsid w:val="16460F15"/>
    <w:rsid w:val="189E3CDE"/>
    <w:rsid w:val="1F664B4D"/>
    <w:rsid w:val="2E564462"/>
    <w:rsid w:val="3A334184"/>
    <w:rsid w:val="56E6333F"/>
    <w:rsid w:val="577795CC"/>
    <w:rsid w:val="77D34C3E"/>
    <w:rsid w:val="7CBE21BE"/>
    <w:rsid w:val="7F6F8649"/>
    <w:rsid w:val="BBDFC864"/>
    <w:rsid w:val="FBD7B0FC"/>
    <w:rsid w:val="FEF28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3838</Words>
  <Characters>3857</Characters>
  <Lines>0</Lines>
  <Paragraphs>0</Paragraphs>
  <TotalTime>0</TotalTime>
  <ScaleCrop>false</ScaleCrop>
  <LinksUpToDate>false</LinksUpToDate>
  <CharactersWithSpaces>3892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2026-04-17T18:24:00Z</dcterms:created>
  <dc:creator>盼月</dc:creator>
  <cp:lastModifiedBy>哈娃Echo</cp:lastModifiedBy>
  <dcterms:modified xsi:type="dcterms:W3CDTF">2026-05-25T02:59:22Z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  <property fmtid="{D5CDD505-2E9C-101B-9397-08002B2CF9AE}" pid="3" name="ICV">
    <vt:lpwstr>91E9D63E433C43F9A8D8AD65880ABD65_11</vt:lpwstr>
  </property>
  <property fmtid="{D5CDD505-2E9C-101B-9397-08002B2CF9AE}" pid="4" name="KSOTemplateDocerSaveRecord">
    <vt:lpwstr>eyJoZGlkIjoiYjIyMWY0OGRhNmZjYmY0ZmRiZjI4MWUyNjhmNDE3MmUiLCJ1c2VySWQiOiIyNzE3MjI4MzYifQ==</vt:lpwstr>
  </property>
</Properties>
</file>