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4A9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b/>
          <w:bCs/>
          <w:color w:val="FF0000"/>
          <w:spacing w:val="79"/>
          <w:kern w:val="30"/>
          <w:sz w:val="52"/>
          <w:szCs w:val="52"/>
          <w:lang w:val="en-US" w:eastAsia="zh-CN"/>
        </w:rPr>
      </w:pPr>
      <w:r>
        <w:rPr>
          <w:sz w:val="52"/>
        </w:rPr>
        <mc:AlternateContent>
          <mc:Choice Requires="wps">
            <w:drawing>
              <wp:anchor distT="0" distB="0" distL="114300" distR="114300" simplePos="0" relativeHeight="251659264" behindDoc="0" locked="0" layoutInCell="1" allowOverlap="1">
                <wp:simplePos x="0" y="0"/>
                <wp:positionH relativeFrom="column">
                  <wp:posOffset>3943350</wp:posOffset>
                </wp:positionH>
                <wp:positionV relativeFrom="paragraph">
                  <wp:posOffset>247650</wp:posOffset>
                </wp:positionV>
                <wp:extent cx="1430655" cy="748030"/>
                <wp:effectExtent l="0" t="0" r="4445" b="1270"/>
                <wp:wrapNone/>
                <wp:docPr id="3" name="文本框 3"/>
                <wp:cNvGraphicFramePr/>
                <a:graphic xmlns:a="http://schemas.openxmlformats.org/drawingml/2006/main">
                  <a:graphicData uri="http://schemas.microsoft.com/office/word/2010/wordprocessingShape">
                    <wps:wsp>
                      <wps:cNvSpPr txBox="1"/>
                      <wps:spPr>
                        <a:xfrm>
                          <a:off x="5086350" y="1162050"/>
                          <a:ext cx="1430655" cy="74803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1C24A1E7">
                            <w:pPr>
                              <w:rPr>
                                <w:rFonts w:hint="default" w:eastAsiaTheme="minorEastAsia"/>
                                <w:color w:val="FF0000"/>
                                <w:sz w:val="84"/>
                                <w:szCs w:val="84"/>
                                <w:lang w:val="en-US" w:eastAsia="zh-CN"/>
                              </w:rPr>
                            </w:pPr>
                            <w:r>
                              <w:rPr>
                                <w:rFonts w:hint="eastAsia"/>
                                <w:color w:val="FF0000"/>
                                <w:sz w:val="84"/>
                                <w:szCs w:val="84"/>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19.5pt;height:58.9pt;width:112.65pt;z-index:251659264;mso-width-relative:page;mso-height-relative:page;" fillcolor="#FFFFFF [3212]" filled="t" stroked="f" coordsize="21600,21600" o:gfxdata="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oVTJXWAAAA&#10;CgEAAA8AAAAAAAAAAQAgAAAAIgAAAGRycy9kb3ducmV2LnhtbFBLAQIUABQAAAAIAIdO4kAb6zce&#10;WAIAAJsEAAAOAAAAAAAAAAEAIAAAACUBAABkcnMvZTJvRG9jLnhtbFBLBQYAAAAABgAGAFkBAADv&#10;BQAAAAA=&#10;">
                <v:fill on="t" focussize="0,0"/>
                <v:stroke on="f" weight="0.5pt"/>
                <v:imagedata o:title=""/>
                <o:lock v:ext="edit" aspectratio="f"/>
                <v:textbox>
                  <w:txbxContent>
                    <w:p w14:paraId="1C24A1E7">
                      <w:pPr>
                        <w:rPr>
                          <w:rFonts w:hint="default" w:eastAsiaTheme="minorEastAsia"/>
                          <w:color w:val="FF0000"/>
                          <w:sz w:val="84"/>
                          <w:szCs w:val="84"/>
                          <w:lang w:val="en-US" w:eastAsia="zh-CN"/>
                        </w:rPr>
                      </w:pPr>
                      <w:r>
                        <w:rPr>
                          <w:rFonts w:hint="eastAsia"/>
                          <w:color w:val="FF0000"/>
                          <w:sz w:val="84"/>
                          <w:szCs w:val="84"/>
                          <w:lang w:val="en-US" w:eastAsia="zh-CN"/>
                        </w:rPr>
                        <w:t>文件</w:t>
                      </w:r>
                    </w:p>
                  </w:txbxContent>
                </v:textbox>
              </v:shape>
            </w:pict>
          </mc:Fallback>
        </mc:AlternateContent>
      </w:r>
      <w:r>
        <w:rPr>
          <w:rFonts w:hint="eastAsia" w:asciiTheme="majorEastAsia" w:hAnsiTheme="majorEastAsia" w:eastAsiaTheme="majorEastAsia" w:cstheme="majorEastAsia"/>
          <w:b/>
          <w:bCs/>
          <w:color w:val="FF0000"/>
          <w:spacing w:val="79"/>
          <w:kern w:val="30"/>
          <w:sz w:val="52"/>
          <w:szCs w:val="52"/>
          <w:lang w:val="en-US" w:eastAsia="zh-CN"/>
        </w:rPr>
        <w:t>赤峰市松山区农牧局</w:t>
      </w:r>
    </w:p>
    <w:p w14:paraId="66FD9C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b/>
          <w:bCs/>
          <w:color w:val="FF0000"/>
          <w:spacing w:val="79"/>
          <w:kern w:val="30"/>
          <w:sz w:val="52"/>
          <w:szCs w:val="52"/>
          <w:lang w:val="en-US" w:eastAsia="zh-CN"/>
        </w:rPr>
      </w:pPr>
      <w:r>
        <w:rPr>
          <w:rFonts w:hint="eastAsia" w:asciiTheme="majorEastAsia" w:hAnsiTheme="majorEastAsia" w:eastAsiaTheme="majorEastAsia" w:cstheme="majorEastAsia"/>
          <w:b/>
          <w:bCs/>
          <w:color w:val="FF0000"/>
          <w:spacing w:val="79"/>
          <w:kern w:val="30"/>
          <w:sz w:val="52"/>
          <w:szCs w:val="52"/>
          <w:lang w:val="en-US" w:eastAsia="zh-CN"/>
        </w:rPr>
        <w:t>赤峰市松山区财政局</w:t>
      </w:r>
    </w:p>
    <w:p w14:paraId="4914E0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ajorEastAsia" w:hAnsiTheme="majorEastAsia" w:eastAsiaTheme="majorEastAsia" w:cstheme="majorEastAsia"/>
          <w:b/>
          <w:bCs/>
          <w:color w:val="FF0000"/>
          <w:spacing w:val="79"/>
          <w:kern w:val="30"/>
          <w:sz w:val="52"/>
          <w:szCs w:val="52"/>
          <w:lang w:val="en-US" w:eastAsia="zh-CN"/>
        </w:rPr>
      </w:pPr>
    </w:p>
    <w:p w14:paraId="29455C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赤松农牧发</w:t>
      </w:r>
      <w:r>
        <w:rPr>
          <w:rFonts w:hint="eastAsia" w:ascii="宋体" w:hAnsi="宋体" w:eastAsia="宋体" w:cs="宋体"/>
          <w:sz w:val="32"/>
          <w:szCs w:val="32"/>
          <w:lang w:val="en-US" w:eastAsia="zh-CN"/>
        </w:rPr>
        <w:t>〔2024〕</w:t>
      </w:r>
      <w:r>
        <w:rPr>
          <w:rFonts w:hint="eastAsia" w:ascii="仿宋" w:hAnsi="仿宋" w:eastAsia="仿宋" w:cs="仿宋"/>
          <w:sz w:val="32"/>
          <w:szCs w:val="32"/>
          <w:lang w:val="en-US" w:eastAsia="zh-CN"/>
        </w:rPr>
        <w:t>253号         签发人：陈刚、侯文昌</w:t>
      </w:r>
    </w:p>
    <w:p w14:paraId="4F65E7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158750</wp:posOffset>
                </wp:positionV>
                <wp:extent cx="5538470" cy="24130"/>
                <wp:effectExtent l="0" t="13970" r="11430" b="25400"/>
                <wp:wrapNone/>
                <wp:docPr id="4" name="直接连接符 4"/>
                <wp:cNvGraphicFramePr/>
                <a:graphic xmlns:a="http://schemas.openxmlformats.org/drawingml/2006/main">
                  <a:graphicData uri="http://schemas.microsoft.com/office/word/2010/wordprocessingShape">
                    <wps:wsp>
                      <wps:cNvCnPr/>
                      <wps:spPr>
                        <a:xfrm>
                          <a:off x="1179830" y="3220085"/>
                          <a:ext cx="5538470" cy="24130"/>
                        </a:xfrm>
                        <a:prstGeom prst="line">
                          <a:avLst/>
                        </a:prstGeom>
                        <a:ln w="28575" cmpd="sng">
                          <a:solidFill>
                            <a:srgbClr val="FF0000"/>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1pt;margin-top:12.5pt;height:1.9pt;width:436.1pt;z-index:251660288;mso-width-relative:page;mso-height-relative:page;" filled="f" stroked="t" coordsize="21600,21600" o:gfxdata="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subYjaAAAACQEAAA8AAAAAAAAAAQAgAAAAIgAAAGRycy9kb3ducmV2Lnht&#10;bFBLAQIUABQAAAAIAIdO4kBwEiMY9wEAAMIDAAAOAAAAAAAAAAEAIAAAACkBAABkcnMvZTJvRG9j&#10;LnhtbFBLBQYAAAAABgAGAFkBAACSBQAAAAA=&#10;">
                <v:fill on="f" focussize="0,0"/>
                <v:stroke weight="2.25pt" color="#FF0000 [3204]" miterlimit="8" joinstyle="miter"/>
                <v:imagedata o:title=""/>
                <o:lock v:ext="edit" aspectratio="f"/>
              </v:line>
            </w:pict>
          </mc:Fallback>
        </mc:AlternateContent>
      </w:r>
    </w:p>
    <w:p w14:paraId="19E3EC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kern w:val="2"/>
          <w:sz w:val="30"/>
          <w:szCs w:val="30"/>
          <w:lang w:val="en-US" w:eastAsia="zh-CN" w:bidi="ar"/>
        </w:rPr>
      </w:pPr>
      <w:r>
        <w:rPr>
          <w:rFonts w:hint="eastAsia" w:ascii="黑体" w:hAnsi="黑体" w:eastAsia="黑体" w:cs="黑体"/>
          <w:sz w:val="44"/>
          <w:szCs w:val="44"/>
          <w:lang w:val="en-US" w:eastAsia="zh-CN"/>
        </w:rPr>
        <w:t>关于转发《</w:t>
      </w:r>
      <w:r>
        <w:rPr>
          <w:rFonts w:hint="eastAsia" w:ascii="黑体" w:hAnsi="黑体" w:eastAsia="黑体" w:cs="黑体"/>
          <w:sz w:val="44"/>
          <w:szCs w:val="44"/>
          <w:vertAlign w:val="baseline"/>
          <w:lang w:val="en-US" w:eastAsia="zh-CN"/>
        </w:rPr>
        <w:t>赤峰市2024—2026年农机购置与应用补贴实施方案</w:t>
      </w:r>
      <w:r>
        <w:rPr>
          <w:rFonts w:hint="eastAsia" w:ascii="黑体" w:hAnsi="黑体" w:eastAsia="黑体" w:cs="黑体"/>
          <w:sz w:val="44"/>
          <w:szCs w:val="44"/>
          <w:lang w:val="en-US" w:eastAsia="zh-CN"/>
        </w:rPr>
        <w:t>》及相关事项的通知</w:t>
      </w:r>
    </w:p>
    <w:p w14:paraId="6A5959D6">
      <w:pPr>
        <w:pStyle w:val="4"/>
        <w:widowControl/>
        <w:numPr>
          <w:ilvl w:val="0"/>
          <w:numId w:val="0"/>
        </w:numPr>
        <w:shd w:val="clear" w:fill="FFFFFF"/>
        <w:spacing w:before="0" w:beforeAutospacing="0" w:after="0" w:afterAutospacing="0" w:line="560" w:lineRule="exact"/>
        <w:ind w:right="0" w:rightChars="0"/>
        <w:jc w:val="both"/>
        <w:rPr>
          <w:rFonts w:hint="eastAsia" w:ascii="黑体" w:hAnsi="黑体" w:eastAsia="黑体" w:cs="黑体"/>
          <w:snapToGrid w:val="0"/>
          <w:kern w:val="2"/>
          <w:sz w:val="30"/>
          <w:szCs w:val="30"/>
          <w:highlight w:val="none"/>
          <w:lang w:val="en-US" w:eastAsia="zh-CN" w:bidi="ar"/>
        </w:rPr>
      </w:pPr>
    </w:p>
    <w:p w14:paraId="61F4DB17">
      <w:pPr>
        <w:pStyle w:val="4"/>
        <w:widowControl/>
        <w:numPr>
          <w:ilvl w:val="0"/>
          <w:numId w:val="0"/>
        </w:numPr>
        <w:shd w:val="clear" w:fill="FFFFFF"/>
        <w:spacing w:before="0" w:beforeAutospacing="0" w:after="0" w:afterAutospacing="0" w:line="560" w:lineRule="exact"/>
        <w:ind w:right="0" w:rightChars="0"/>
        <w:jc w:val="both"/>
        <w:rPr>
          <w:rFonts w:hint="default" w:ascii="仿宋" w:hAnsi="仿宋" w:eastAsia="仿宋" w:cs="仿宋"/>
          <w:snapToGrid w:val="0"/>
          <w:kern w:val="2"/>
          <w:sz w:val="32"/>
          <w:szCs w:val="32"/>
          <w:highlight w:val="none"/>
          <w:lang w:val="en-US" w:eastAsia="zh-CN" w:bidi="ar"/>
        </w:rPr>
      </w:pPr>
      <w:r>
        <w:rPr>
          <w:rFonts w:hint="eastAsia" w:ascii="仿宋" w:hAnsi="仿宋" w:eastAsia="仿宋" w:cs="仿宋"/>
          <w:snapToGrid w:val="0"/>
          <w:kern w:val="2"/>
          <w:sz w:val="32"/>
          <w:szCs w:val="32"/>
          <w:highlight w:val="none"/>
          <w:lang w:val="en-US" w:eastAsia="zh-CN" w:bidi="ar"/>
        </w:rPr>
        <w:t>各乡镇人民政府、区直相关部门：</w:t>
      </w:r>
    </w:p>
    <w:p w14:paraId="2A4C7587">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为持续落实好我区农机购置与应用补贴政策，现将《赤峰市2024—2026年农机购置与应用补贴实施方案》</w:t>
      </w:r>
      <w:r>
        <w:rPr>
          <w:rFonts w:hint="eastAsia" w:ascii="仿宋_GB2312" w:hAnsi="方正小标宋简体" w:eastAsia="仿宋_GB2312" w:cs="仿宋_GB2312"/>
          <w:spacing w:val="6"/>
          <w:sz w:val="32"/>
          <w:szCs w:val="32"/>
        </w:rPr>
        <w:t>（</w:t>
      </w:r>
      <w:r>
        <w:rPr>
          <w:rFonts w:hint="eastAsia" w:ascii="仿宋_GB2312" w:hAnsi="方正小标宋简体" w:eastAsia="仿宋_GB2312" w:cs="仿宋_GB2312"/>
          <w:spacing w:val="6"/>
          <w:sz w:val="32"/>
          <w:szCs w:val="32"/>
          <w:lang w:val="en-US" w:eastAsia="zh-CN"/>
        </w:rPr>
        <w:t>赤</w:t>
      </w:r>
      <w:r>
        <w:rPr>
          <w:rFonts w:hint="eastAsia" w:ascii="仿宋_GB2312" w:hAnsi="方正小标宋简体" w:eastAsia="仿宋_GB2312" w:cs="仿宋_GB2312"/>
          <w:spacing w:val="6"/>
          <w:sz w:val="32"/>
          <w:szCs w:val="32"/>
        </w:rPr>
        <w:t>农</w:t>
      </w:r>
      <w:r>
        <w:rPr>
          <w:rFonts w:hint="eastAsia" w:ascii="仿宋_GB2312" w:hAnsi="方正小标宋简体" w:eastAsia="仿宋_GB2312" w:cs="仿宋_GB2312"/>
          <w:spacing w:val="6"/>
          <w:sz w:val="32"/>
          <w:szCs w:val="32"/>
          <w:highlight w:val="none"/>
          <w:lang w:val="en-US" w:eastAsia="zh-CN"/>
        </w:rPr>
        <w:t>牧机发</w:t>
      </w:r>
      <w:r>
        <w:rPr>
          <w:rFonts w:hint="eastAsia" w:ascii="仿宋_GB2312" w:hAnsi="方正小标宋简体" w:eastAsia="仿宋_GB2312" w:cs="仿宋_GB2312"/>
          <w:spacing w:val="6"/>
          <w:sz w:val="32"/>
          <w:szCs w:val="32"/>
          <w:highlight w:val="none"/>
        </w:rPr>
        <w:t>〔2024〕</w:t>
      </w:r>
      <w:r>
        <w:rPr>
          <w:rFonts w:hint="eastAsia" w:ascii="仿宋_GB2312" w:hAnsi="方正小标宋简体" w:eastAsia="仿宋_GB2312" w:cs="仿宋_GB2312"/>
          <w:spacing w:val="6"/>
          <w:sz w:val="32"/>
          <w:szCs w:val="32"/>
          <w:highlight w:val="none"/>
          <w:lang w:val="en-US" w:eastAsia="zh-CN"/>
        </w:rPr>
        <w:t>21</w:t>
      </w:r>
      <w:r>
        <w:rPr>
          <w:rFonts w:hint="eastAsia" w:ascii="仿宋_GB2312" w:hAnsi="方正小标宋简体" w:eastAsia="仿宋_GB2312" w:cs="仿宋_GB2312"/>
          <w:spacing w:val="6"/>
          <w:sz w:val="32"/>
          <w:szCs w:val="32"/>
          <w:highlight w:val="none"/>
        </w:rPr>
        <w:t>号</w:t>
      </w:r>
      <w:r>
        <w:rPr>
          <w:rFonts w:hint="eastAsia" w:ascii="仿宋_GB2312" w:hAnsi="方正小标宋简体" w:eastAsia="仿宋_GB2312" w:cs="仿宋_GB2312"/>
          <w:spacing w:val="6"/>
          <w:sz w:val="32"/>
          <w:szCs w:val="32"/>
        </w:rPr>
        <w:t>）</w:t>
      </w:r>
      <w:r>
        <w:rPr>
          <w:rFonts w:hint="eastAsia" w:ascii="仿宋" w:hAnsi="仿宋" w:eastAsia="仿宋" w:cs="仿宋"/>
          <w:snapToGrid w:val="0"/>
          <w:kern w:val="2"/>
          <w:sz w:val="32"/>
          <w:szCs w:val="32"/>
          <w:lang w:val="en-US" w:eastAsia="zh-CN" w:bidi="ar"/>
        </w:rPr>
        <w:t>（以下简称《方案》）转发给你们，请做好落实和宣传工作。根据我区实际情况，提出以下要求，一并贯彻落实。</w:t>
      </w:r>
    </w:p>
    <w:p w14:paraId="08C1D373">
      <w:pPr>
        <w:pStyle w:val="4"/>
        <w:widowControl/>
        <w:numPr>
          <w:ilvl w:val="0"/>
          <w:numId w:val="0"/>
        </w:numPr>
        <w:shd w:val="clear" w:fill="FFFFFF"/>
        <w:spacing w:before="0" w:beforeAutospacing="0" w:after="0" w:afterAutospacing="0" w:line="560" w:lineRule="exact"/>
        <w:ind w:left="0" w:leftChars="0" w:right="0" w:rightChars="0" w:firstLine="684" w:firstLineChars="213"/>
        <w:jc w:val="both"/>
        <w:rPr>
          <w:rFonts w:hint="eastAsia" w:ascii="黑体" w:hAnsi="黑体" w:eastAsia="黑体" w:cs="黑体"/>
          <w:b/>
          <w:bCs/>
          <w:snapToGrid w:val="0"/>
          <w:kern w:val="2"/>
          <w:sz w:val="32"/>
          <w:szCs w:val="32"/>
          <w:lang w:val="en-US" w:eastAsia="zh-CN" w:bidi="ar"/>
        </w:rPr>
      </w:pPr>
      <w:r>
        <w:rPr>
          <w:rFonts w:hint="eastAsia" w:ascii="黑体" w:hAnsi="黑体" w:eastAsia="黑体" w:cs="黑体"/>
          <w:b/>
          <w:bCs/>
          <w:snapToGrid w:val="0"/>
          <w:kern w:val="2"/>
          <w:sz w:val="32"/>
          <w:szCs w:val="32"/>
          <w:lang w:val="en-US" w:eastAsia="zh-CN" w:bidi="ar"/>
        </w:rPr>
        <w:t>一、购机人身份要求</w:t>
      </w:r>
    </w:p>
    <w:p w14:paraId="176BA69C">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default" w:ascii="仿宋" w:hAnsi="仿宋" w:eastAsia="仿宋" w:cs="仿宋"/>
          <w:snapToGrid w:val="0"/>
          <w:color w:val="FF0000"/>
          <w:kern w:val="2"/>
          <w:sz w:val="32"/>
          <w:szCs w:val="32"/>
          <w:lang w:val="en-US" w:eastAsia="zh-CN" w:bidi="ar"/>
        </w:rPr>
      </w:pPr>
      <w:r>
        <w:rPr>
          <w:rFonts w:hint="eastAsia" w:ascii="仿宋" w:hAnsi="仿宋" w:eastAsia="仿宋" w:cs="仿宋"/>
          <w:snapToGrid w:val="0"/>
          <w:kern w:val="2"/>
          <w:sz w:val="32"/>
          <w:szCs w:val="32"/>
          <w:lang w:val="en-US" w:eastAsia="zh-CN" w:bidi="ar"/>
        </w:rPr>
        <w:t>补贴对象为从事农牧业生产的农民和农牧业生产经营组织(以下简称“购机者”),不包括行政事业机构在职及离退体人员。</w:t>
      </w:r>
    </w:p>
    <w:p w14:paraId="114D93FC">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黑体" w:hAnsi="黑体" w:eastAsia="黑体" w:cs="黑体"/>
          <w:snapToGrid w:val="0"/>
          <w:kern w:val="2"/>
          <w:sz w:val="32"/>
          <w:szCs w:val="32"/>
          <w:lang w:val="en-US" w:eastAsia="zh-CN" w:bidi="ar"/>
        </w:rPr>
      </w:pPr>
      <w:r>
        <w:rPr>
          <w:rFonts w:hint="eastAsia" w:ascii="黑体" w:hAnsi="黑体" w:eastAsia="黑体" w:cs="黑体"/>
          <w:snapToGrid w:val="0"/>
          <w:kern w:val="2"/>
          <w:sz w:val="32"/>
          <w:szCs w:val="32"/>
          <w:lang w:val="en-US" w:eastAsia="zh-CN" w:bidi="ar"/>
        </w:rPr>
        <w:t>二、享受补贴机具台数</w:t>
      </w:r>
    </w:p>
    <w:p w14:paraId="1AE1C4A0">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default"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个人年度内享受补贴的常规机具数量原则上不超过5台套，农牧业生产经营组织年度内享受补贴的常规机具数量不超过10台套。购买农用无人驾驶航空器的个人年度内只限享受一台购置补贴，农牧业合作组织只限享受两台。特殊情况需要突破上述台数上限的，购机者书面提交情况说明，经区农牧局审核后可以视具体情况适当放宽。</w:t>
      </w:r>
    </w:p>
    <w:p w14:paraId="73346BA4">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黑体" w:hAnsi="黑体" w:eastAsia="黑体" w:cs="黑体"/>
          <w:snapToGrid w:val="0"/>
          <w:kern w:val="2"/>
          <w:sz w:val="32"/>
          <w:szCs w:val="32"/>
          <w:lang w:val="en-US" w:eastAsia="zh-CN" w:bidi="ar"/>
        </w:rPr>
      </w:pPr>
      <w:r>
        <w:rPr>
          <w:rFonts w:hint="eastAsia" w:ascii="黑体" w:hAnsi="黑体" w:eastAsia="黑体" w:cs="黑体"/>
          <w:snapToGrid w:val="0"/>
          <w:kern w:val="2"/>
          <w:sz w:val="32"/>
          <w:szCs w:val="32"/>
          <w:lang w:val="en-US" w:eastAsia="zh-CN" w:bidi="ar"/>
        </w:rPr>
        <w:t>三、办理流程</w:t>
      </w:r>
    </w:p>
    <w:p w14:paraId="6A270199">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（一）购机核验</w:t>
      </w:r>
    </w:p>
    <w:p w14:paraId="2CDEE769">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购机者购置补贴机具后，向销售方索要购机发票、机具信息单、机具核验单，由本人携机到区农牧局在蒙东农机市场设立的集中核验点接受购机核验，拍摄人机合影和身份证与机具铭牌等机具识别信息合影，填制补贴机具核验单。购机者不在现场或从蒙东农机市场以外地区购置的机具，可到户籍所在乡镇由负责农机管理业务的乡镇干部核验。机具在外地作业，现场核验有困难的，在确保真实的前提下，可由区农机购置补贴办公室人员远程视频核验。</w:t>
      </w:r>
    </w:p>
    <w:p w14:paraId="70BC7E8D">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（二）补贴申请和签字确认</w:t>
      </w:r>
    </w:p>
    <w:p w14:paraId="1E596C5C">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牌证管理机具在完成购机核验后，需到区农牧局农机管理部门注册登记方可提交补贴申请，其它类型机具在完成购机核验后可当即提交补贴申请。购置牌证管理机具的补贴申请只能通过手机APP提交，购置其它机具的补贴申请既可利用手机APP线上提交，也可到区农机购置补贴办公室设在区政务服务中心农机业务窗口通过PC端提交。农机购置补贴办公室工作人员对购机者提交到“内蒙古自治区农机购置与应用补贴申请办理服务系统”的补贴申请数据与购机者现场提交的身份证、户口本、惠民“一卡通”、购机发票、机具信息单、核验单、核验照片、行驶证（牌证管理机具还需提交）等纸质材料进行核对，审核无误即可为购机人打印《农机购置与应用补贴资金申请表》和《农机购置与应用补贴资金申请告知承诺书》，购机者本人签字确认后即完成补贴申领。部分安装物联监控的机具类别以完成规定作业面积或作业量作为申领补贴的前提条件，具体机具种类以办理服务系统设置为准。</w:t>
      </w:r>
    </w:p>
    <w:p w14:paraId="433F835B">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default"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（三）结算兑付</w:t>
      </w:r>
    </w:p>
    <w:p w14:paraId="01B3A7AF">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购机人签字确认的申请经网上公示5天期满后，经区补贴办工作人员再次审核无误后推送到“内蒙古自治区农机购置与应用补贴申请办理服务系统”财政端口，财政部门根据《内蒙古自治区财政厅 农牧厅关于创新惠农惠牧财政补贴资金发放直达机制的通知》（内财农〔2024〕26号）文件要求完成提级发放。</w:t>
      </w:r>
    </w:p>
    <w:p w14:paraId="4F15C0CB">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黑体" w:hAnsi="黑体" w:eastAsia="黑体" w:cs="黑体"/>
          <w:snapToGrid w:val="0"/>
          <w:kern w:val="2"/>
          <w:sz w:val="32"/>
          <w:szCs w:val="32"/>
          <w:lang w:val="en-US" w:eastAsia="zh-CN" w:bidi="ar"/>
        </w:rPr>
      </w:pPr>
      <w:r>
        <w:rPr>
          <w:rFonts w:hint="eastAsia" w:ascii="黑体" w:hAnsi="黑体" w:eastAsia="黑体" w:cs="黑体"/>
          <w:snapToGrid w:val="0"/>
          <w:kern w:val="2"/>
          <w:sz w:val="32"/>
          <w:szCs w:val="32"/>
          <w:lang w:val="en-US" w:eastAsia="zh-CN" w:bidi="ar"/>
        </w:rPr>
        <w:t>四、相关要求</w:t>
      </w:r>
    </w:p>
    <w:p w14:paraId="0F4E576F">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（一）加强组织领导。农机购置与应用政策是在政府领导下由农牧局、财政局要联合实施，部门间要切实加强组织协调，密切沟通配合，明确职责分工，形成工作合力，</w:t>
      </w:r>
      <w:r>
        <w:rPr>
          <w:rFonts w:hint="default" w:ascii="仿宋" w:hAnsi="仿宋" w:eastAsia="仿宋" w:cs="仿宋"/>
          <w:snapToGrid w:val="0"/>
          <w:kern w:val="2"/>
          <w:sz w:val="32"/>
          <w:szCs w:val="32"/>
          <w:lang w:val="en-US" w:eastAsia="zh-CN" w:bidi="ar"/>
        </w:rPr>
        <w:t>切实提升政策实施管理工作能力水平</w:t>
      </w:r>
      <w:r>
        <w:rPr>
          <w:rFonts w:hint="eastAsia" w:ascii="仿宋" w:hAnsi="仿宋" w:eastAsia="仿宋" w:cs="仿宋"/>
          <w:snapToGrid w:val="0"/>
          <w:kern w:val="2"/>
          <w:sz w:val="32"/>
          <w:szCs w:val="32"/>
          <w:lang w:val="en-US" w:eastAsia="zh-CN" w:bidi="ar"/>
        </w:rPr>
        <w:t>。</w:t>
      </w:r>
    </w:p>
    <w:p w14:paraId="7A0926FC">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二）加强机具核验和抽查工作。强化信息技术在核验工作中的应用。购置的拖拉机和收割机等加装北斗监控装置的物联网机具以补贴前人工核验并达到卫星监控最低作业量下限作为申领补贴的前提。购置其它补贴机具全部以补前人工核验为申领补贴的前提。为提高购机人享受农机购置与应用补贴政策便利化水平和核验工作公开透明度，优化补贴流程，根据《方案》要求，邀请赤峰商贸物流城蒙东农机市场农机行业协会作为第三方委派人员参与核验工作。核验工作以区农机补贴办公室工作人员和乡镇负责农机管理工作的人员为主，第三方人员作为辅助力量配合农牧局工作人员完成核验，不可独立开展核验工作。</w:t>
      </w:r>
    </w:p>
    <w:p w14:paraId="14EC4184">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default"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要定期分析购机人提交的申请数据，对单一产品购置较为集中、短期内大批量、同一主体两年内购置3台套以上同一分档产品、机具适应性和购置数量与购机者生产经营不相符等情形要重点管理，对异常情形应及时组织抽查核验。核验工作具体流程与要求由《2024-2026年松山区补贴机具核验规范》详细规定。</w:t>
      </w:r>
    </w:p>
    <w:p w14:paraId="715032A5">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三）加快政策落实进度，提醒购机人及时办理。补贴政策全面实行跨年度连续实施，农机购置补贴办公室及时通过短信、电话、经销企业转达等方式及通提醒购机人及时按流程办理补贴申领事项。因购机人怠于办理，补贴政策发生变动的，按变动后政策执行。在上级下达我区年度资金指标总额内，兑付顺序以办结相关手续和申请先后顺序为准，用完为止。</w:t>
      </w:r>
    </w:p>
    <w:p w14:paraId="679D95B6">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四）购机人的责任义务。购机人有责任有义务接受各级农牧部门及有关职能部门监督管理和机具抽查核验等管理要求，主动向区农牧局报告发现的异常情况，自愿承担违反《农机购置与应用补贴资金申请告知承诺书》所承诺事项相关法律和行政责任。补贴申请必须由本人持相关材料提出并办理，因遇重大疾病或意外事故导致本人不能亲自办理的，可由购机人家庭成员提供同一家庭的证明及购机人相关材料办理，其他原因一律不许代办。</w:t>
      </w:r>
    </w:p>
    <w:p w14:paraId="4E3E1BD9">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本通知执行时间与《方案》相同。在此之前已提出购机补贴申请且手续齐全的仍按2023年政策执行。</w:t>
      </w:r>
    </w:p>
    <w:p w14:paraId="19B55CA7">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p>
    <w:p w14:paraId="1CC378B8">
      <w:pPr>
        <w:pStyle w:val="4"/>
        <w:widowControl/>
        <w:numPr>
          <w:ilvl w:val="0"/>
          <w:numId w:val="0"/>
        </w:numPr>
        <w:shd w:val="clear" w:fill="FFFFFF"/>
        <w:spacing w:before="0" w:beforeAutospacing="0" w:after="0" w:afterAutospacing="0" w:line="560" w:lineRule="exact"/>
        <w:ind w:left="0" w:leftChars="0" w:right="0" w:rightChars="0" w:firstLine="681" w:firstLineChars="213"/>
        <w:jc w:val="both"/>
        <w:rPr>
          <w:rFonts w:hint="eastAsia" w:ascii="仿宋" w:hAnsi="仿宋" w:eastAsia="仿宋" w:cs="仿宋"/>
          <w:snapToGrid w:val="0"/>
          <w:kern w:val="2"/>
          <w:sz w:val="32"/>
          <w:szCs w:val="32"/>
          <w:lang w:val="en-US" w:eastAsia="zh-CN" w:bidi="ar"/>
        </w:rPr>
      </w:pPr>
      <w:r>
        <w:rPr>
          <w:rFonts w:hint="eastAsia" w:ascii="仿宋" w:hAnsi="仿宋" w:eastAsia="仿宋" w:cs="仿宋"/>
          <w:snapToGrid w:val="0"/>
          <w:kern w:val="2"/>
          <w:sz w:val="32"/>
          <w:szCs w:val="32"/>
          <w:lang w:val="en-US" w:eastAsia="zh-CN" w:bidi="ar"/>
        </w:rPr>
        <w:t>附件：赤峰市农牧局 财政局关于印发《赤峰市农牧业机械报废更新补贴工作实施方案》的通知（赤农牧机发〔2024〕22号）</w:t>
      </w:r>
    </w:p>
    <w:p w14:paraId="6EDA40D3">
      <w:pPr>
        <w:ind w:left="0" w:leftChars="0" w:firstLine="640" w:firstLineChars="200"/>
        <w:rPr>
          <w:rFonts w:hint="eastAsia"/>
          <w:sz w:val="32"/>
          <w:szCs w:val="32"/>
          <w:lang w:val="en-US" w:eastAsia="zh-CN"/>
        </w:rPr>
      </w:pPr>
    </w:p>
    <w:p w14:paraId="25D65EA0">
      <w:pPr>
        <w:ind w:left="0" w:leftChars="0" w:firstLine="640" w:firstLineChars="200"/>
        <w:rPr>
          <w:rFonts w:hint="eastAsia"/>
          <w:sz w:val="32"/>
          <w:szCs w:val="32"/>
          <w:lang w:val="en-US" w:eastAsia="zh-CN"/>
        </w:rPr>
      </w:pPr>
    </w:p>
    <w:p w14:paraId="1138FC98">
      <w:pPr>
        <w:ind w:left="0" w:leftChars="0" w:firstLine="640" w:firstLineChars="200"/>
        <w:rPr>
          <w:rFonts w:hint="eastAsia"/>
          <w:sz w:val="32"/>
          <w:szCs w:val="32"/>
          <w:lang w:val="en-US" w:eastAsia="zh-CN"/>
        </w:rPr>
      </w:pPr>
    </w:p>
    <w:p w14:paraId="389F30CD">
      <w:pPr>
        <w:pStyle w:val="4"/>
        <w:widowControl/>
        <w:shd w:val="clear" w:fill="FFFFFF"/>
        <w:spacing w:before="0" w:beforeAutospacing="0" w:after="0" w:afterAutospacing="0" w:line="560" w:lineRule="exact"/>
        <w:ind w:left="0" w:leftChars="0" w:right="0"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赤峰市松山区农牧局     　赤峰市松山区财政局</w:t>
      </w:r>
    </w:p>
    <w:p w14:paraId="577354C4">
      <w:pPr>
        <w:pStyle w:val="4"/>
        <w:widowControl/>
        <w:shd w:val="clear" w:fill="FFFFFF"/>
        <w:spacing w:before="0" w:beforeAutospacing="0" w:after="0" w:afterAutospacing="0" w:line="560" w:lineRule="exact"/>
        <w:ind w:left="0" w:right="0" w:firstLine="645"/>
        <w:jc w:val="both"/>
        <w:rPr>
          <w:rFonts w:hint="eastAsia" w:ascii="仿宋" w:hAnsi="仿宋" w:eastAsia="仿宋" w:cs="仿宋"/>
          <w:color w:val="333333"/>
          <w:sz w:val="32"/>
          <w:szCs w:val="32"/>
          <w:shd w:val="clear" w:fill="FFFFFF"/>
          <w:lang w:val="en-US" w:eastAsia="zh-CN"/>
        </w:rPr>
      </w:pPr>
    </w:p>
    <w:p w14:paraId="22ED815D">
      <w:pPr>
        <w:pStyle w:val="4"/>
        <w:widowControl/>
        <w:shd w:val="clear" w:fill="FFFFFF"/>
        <w:spacing w:before="0" w:beforeAutospacing="0" w:after="0" w:afterAutospacing="0" w:line="560" w:lineRule="exact"/>
        <w:ind w:left="0" w:right="0" w:firstLine="645"/>
        <w:jc w:val="both"/>
        <w:rPr>
          <w:rFonts w:hint="eastAsia" w:ascii="仿宋" w:hAnsi="仿宋" w:eastAsia="仿宋" w:cs="仿宋"/>
          <w:color w:val="333333"/>
          <w:sz w:val="32"/>
          <w:szCs w:val="32"/>
          <w:shd w:val="clear" w:fill="FFFFFF"/>
          <w:lang w:val="en-US" w:eastAsia="zh-CN"/>
        </w:rPr>
      </w:pPr>
    </w:p>
    <w:p w14:paraId="202C6493">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2024年10月15日</w:t>
      </w:r>
    </w:p>
    <w:p w14:paraId="1C863D4D">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01DFBC6C">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51B7EDAD">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364EC1ED">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646495D7">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7FB8A541">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1E09B92E">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48BEE674">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bookmarkStart w:id="0" w:name="_GoBack"/>
      <w:bookmarkEnd w:id="0"/>
    </w:p>
    <w:p w14:paraId="28BD7543">
      <w:pPr>
        <w:pStyle w:val="4"/>
        <w:widowControl/>
        <w:shd w:val="clear" w:fill="FFFFFF"/>
        <w:spacing w:before="0" w:beforeAutospacing="0" w:after="0" w:afterAutospacing="0" w:line="560" w:lineRule="exact"/>
        <w:ind w:left="0" w:leftChars="0" w:right="0" w:firstLine="3360" w:firstLineChars="0"/>
        <w:jc w:val="both"/>
        <w:rPr>
          <w:rFonts w:hint="eastAsia" w:ascii="仿宋" w:hAnsi="仿宋" w:eastAsia="仿宋" w:cs="仿宋"/>
          <w:color w:val="333333"/>
          <w:sz w:val="32"/>
          <w:szCs w:val="32"/>
          <w:shd w:val="clear" w:fill="FFFFFF"/>
          <w:lang w:val="en-US" w:eastAsia="zh-CN"/>
        </w:rPr>
      </w:pPr>
    </w:p>
    <w:p w14:paraId="6FA47F90">
      <w:pPr>
        <w:pStyle w:val="4"/>
        <w:widowControl/>
        <w:shd w:val="clear" w:fill="FFFFFF"/>
        <w:spacing w:before="0" w:beforeAutospacing="0" w:after="0" w:afterAutospacing="0" w:line="560" w:lineRule="exact"/>
        <w:ind w:right="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附件：</w:t>
      </w:r>
    </w:p>
    <w:p w14:paraId="2B5203D0">
      <w:pPr>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赤峰市</w:t>
      </w:r>
      <w:r>
        <w:rPr>
          <w:rFonts w:hint="eastAsia" w:ascii="方正小标宋简体" w:hAnsi="方正小标宋简体" w:eastAsia="方正小标宋简体" w:cs="方正小标宋简体"/>
          <w:color w:val="auto"/>
          <w:sz w:val="44"/>
          <w:szCs w:val="44"/>
        </w:rPr>
        <w:t>2024—2026年农机购置与应用</w:t>
      </w:r>
    </w:p>
    <w:p w14:paraId="3B243E9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补贴实施方案</w:t>
      </w:r>
    </w:p>
    <w:p w14:paraId="163A9E5F">
      <w:pPr>
        <w:rPr>
          <w:color w:val="auto"/>
        </w:rPr>
      </w:pPr>
    </w:p>
    <w:p w14:paraId="60346AC8">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65B49FE5">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7162B5C5">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122492D4">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0809EB88">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4FE35841">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67BC01CF">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14:paraId="748E94A2">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市级和旗县（区）</w:t>
      </w:r>
      <w:r>
        <w:rPr>
          <w:rFonts w:hint="eastAsia" w:ascii="仿宋_GB2312" w:hAnsi="仿宋_GB2312" w:eastAsia="仿宋_GB2312" w:cs="仿宋_GB2312"/>
          <w:color w:val="auto"/>
          <w:kern w:val="0"/>
          <w:sz w:val="32"/>
          <w:szCs w:val="32"/>
          <w:highlight w:val="none"/>
          <w:lang w:val="en-US" w:eastAsia="zh-CN"/>
        </w:rPr>
        <w:t>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14:paraId="2072A669">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（六）在补贴兑付方面着力提升服务效能。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14:paraId="24F3F03C">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500A9AC3">
      <w:pPr>
        <w:spacing w:line="600" w:lineRule="exact"/>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1FCA23FC">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73E5CEF4">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各旗县（区）根据农牧业生产需要和资金供需实际，可从自治区补贴机具范围中选取本旗县（区）补贴机具品目，优先保障重点机具，名单报市农牧局确定，经自治区农牧厅备案后实施。</w:t>
      </w:r>
    </w:p>
    <w:p w14:paraId="50ADACCF">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highlight w:val="none"/>
        </w:rPr>
        <w:t>农机</w:t>
      </w:r>
      <w:r>
        <w:rPr>
          <w:rFonts w:hint="eastAsia" w:ascii="楷体_GB2312" w:hAnsi="楷体_GB2312" w:eastAsia="楷体_GB2312" w:cs="楷体_GB2312"/>
          <w:bCs/>
          <w:color w:val="auto"/>
          <w:sz w:val="32"/>
          <w:szCs w:val="32"/>
          <w:highlight w:val="none"/>
          <w:lang w:val="en-US" w:eastAsia="zh-CN"/>
        </w:rPr>
        <w:t>专项鉴定产品和农机新产品</w:t>
      </w:r>
      <w:r>
        <w:rPr>
          <w:rFonts w:hint="eastAsia" w:ascii="楷体_GB2312" w:hAnsi="楷体_GB2312" w:eastAsia="楷体_GB2312" w:cs="楷体_GB2312"/>
          <w:bCs/>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rPr>
        <w:t>使用中央财政资金</w:t>
      </w:r>
      <w:r>
        <w:rPr>
          <w:rFonts w:hint="eastAsia" w:ascii="仿宋_GB2312" w:hAnsi="仿宋_GB2312" w:eastAsia="仿宋_GB2312" w:cs="仿宋_GB2312"/>
          <w:color w:val="auto"/>
          <w:kern w:val="0"/>
          <w:sz w:val="32"/>
          <w:szCs w:val="32"/>
          <w:lang w:val="en-US" w:eastAsia="zh-CN"/>
        </w:rPr>
        <w:t>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14:paraId="34B694AC">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68780711">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14:paraId="6176C5A6">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w:t>
      </w:r>
      <w:r>
        <w:rPr>
          <w:rFonts w:hint="eastAsia" w:ascii="仿宋_GB2312" w:hAnsi="仿宋_GB2312" w:eastAsia="仿宋_GB2312" w:cs="仿宋_GB2312"/>
          <w:color w:val="auto"/>
          <w:kern w:val="0"/>
          <w:sz w:val="32"/>
          <w:szCs w:val="32"/>
          <w:highlight w:val="none"/>
        </w:rPr>
        <w:t>类、同一档次农牧业机械在自治区内实行统一的补贴标准。</w:t>
      </w:r>
      <w:r>
        <w:rPr>
          <w:rFonts w:hint="eastAsia" w:ascii="仿宋_GB2312" w:hAnsi="仿宋_GB2312" w:eastAsia="仿宋_GB2312" w:cs="仿宋_GB2312"/>
          <w:color w:val="auto"/>
          <w:kern w:val="0"/>
          <w:sz w:val="32"/>
          <w:szCs w:val="32"/>
          <w:highlight w:val="none"/>
          <w:lang w:eastAsia="zh-CN"/>
        </w:rPr>
        <w:t>自治区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highlight w:val="none"/>
          <w:lang w:val="en-US" w:eastAsia="zh-CN"/>
        </w:rPr>
        <w:t>补贴政策普惠共享、兑付难</w:t>
      </w:r>
      <w:r>
        <w:rPr>
          <w:rFonts w:hint="eastAsia" w:ascii="仿宋_GB2312" w:hAnsi="仿宋_GB2312" w:eastAsia="仿宋_GB2312" w:cs="仿宋_GB2312"/>
          <w:color w:val="auto"/>
          <w:kern w:val="0"/>
          <w:sz w:val="32"/>
          <w:szCs w:val="32"/>
          <w:lang w:val="en-US" w:eastAsia="zh-CN"/>
        </w:rPr>
        <w:t>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062DFC61">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择相关品目或档次产品提高补贴额度，待通过农业农村部、财政部备案后实施。各旗县（区）不得开展累加补贴。逐步降低区域内保有量明显过多、技术相对落后机具品目（档次）的补贴额，补贴额测算比例不超</w:t>
      </w:r>
      <w:r>
        <w:rPr>
          <w:rFonts w:hint="eastAsia" w:ascii="仿宋_GB2312" w:hAnsi="仿宋_GB2312" w:eastAsia="仿宋_GB2312" w:cs="仿宋_GB2312"/>
          <w:color w:val="auto"/>
          <w:sz w:val="32"/>
          <w:szCs w:val="32"/>
          <w:lang w:val="en-US" w:eastAsia="zh-CN"/>
        </w:rPr>
        <w:t>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1BA1B86B">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6D765811">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w:t>
      </w:r>
      <w:r>
        <w:rPr>
          <w:rFonts w:hint="eastAsia" w:ascii="仿宋_GB2312" w:hAnsi="仿宋_GB2312" w:eastAsia="仿宋_GB2312" w:cs="仿宋_GB2312"/>
          <w:color w:val="auto"/>
          <w:kern w:val="0"/>
          <w:sz w:val="32"/>
          <w:szCs w:val="32"/>
          <w:highlight w:val="none"/>
          <w:lang w:val="en-US" w:eastAsia="zh-CN"/>
        </w:rPr>
        <w:t>的中央财政资金实际补贴比例超过测算比例15个百分点以上的，旗县（区）农牧部门会同财政部门结合实际情况及时组织调查，并将调查情况及时逐级报送自治区农牧厅、财政厅。对有违规情节的，按相关规定处理；对无违规情节的补贴申请，可按原规定兑付补贴资金。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要严肃查处。</w:t>
      </w:r>
    </w:p>
    <w:p w14:paraId="38EE47CE">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14:paraId="74B3A968">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14:paraId="194EE6CD">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lang w:val="en-US" w:eastAsia="zh-CN"/>
        </w:rPr>
        <w:t>旗县（区）按照有关规定做好资金需求摸底工作</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加强资金使用情况监测，</w:t>
      </w:r>
      <w:r>
        <w:rPr>
          <w:rFonts w:hint="eastAsia" w:ascii="仿宋_GB2312" w:hAnsi="仿宋_GB2312" w:eastAsia="仿宋_GB2312" w:cs="仿宋_GB2312"/>
          <w:snapToGrid w:val="0"/>
          <w:color w:val="auto"/>
          <w:sz w:val="32"/>
          <w:szCs w:val="32"/>
          <w:lang w:val="en-US" w:eastAsia="zh-CN"/>
        </w:rPr>
        <w:t>优先使用结转资金</w:t>
      </w:r>
      <w:r>
        <w:rPr>
          <w:rFonts w:hint="eastAsia" w:ascii="仿宋_GB2312" w:hAnsi="仿宋_GB2312" w:eastAsia="仿宋_GB2312" w:cs="仿宋_GB2312"/>
          <w:snapToGrid w:val="0"/>
          <w:color w:val="auto"/>
          <w:sz w:val="32"/>
          <w:szCs w:val="32"/>
          <w:highlight w:val="none"/>
          <w:lang w:val="en-US" w:eastAsia="zh-CN"/>
        </w:rPr>
        <w:t>。市农牧部门会同财政部门不突破旗县（区）需求上限分配资金，动态调减资金结转量大、政策实施风险高、资金使用效益低、上年资金兑付率较低地区的预算规模，按需进行</w:t>
      </w:r>
      <w:r>
        <w:rPr>
          <w:rFonts w:hint="eastAsia" w:ascii="仿宋_GB2312" w:hAnsi="仿宋_GB2312" w:eastAsia="仿宋_GB2312" w:cs="仿宋_GB2312"/>
          <w:snapToGrid w:val="0"/>
          <w:color w:val="auto"/>
          <w:sz w:val="32"/>
          <w:szCs w:val="32"/>
          <w:lang w:val="en-US" w:eastAsia="zh-CN"/>
        </w:rPr>
        <w:t>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将实施进度低于序时进度旗县（区）的补贴资金调增给需求较大的旗县（区），促进资金使用实现两年动态紧平衡。</w:t>
      </w:r>
      <w:r>
        <w:rPr>
          <w:rFonts w:hint="default"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旗县（区）</w:t>
      </w:r>
      <w:r>
        <w:rPr>
          <w:rFonts w:hint="default" w:ascii="仿宋_GB2312" w:hAnsi="仿宋_GB2312" w:eastAsia="仿宋_GB2312" w:cs="仿宋_GB2312"/>
          <w:color w:val="auto"/>
          <w:sz w:val="32"/>
          <w:szCs w:val="32"/>
          <w:lang w:val="en-US" w:eastAsia="zh-CN"/>
        </w:rPr>
        <w:t>当年补贴资金兑付工作开展情况与下年资金安排挂钩</w:t>
      </w:r>
      <w:r>
        <w:rPr>
          <w:rFonts w:hint="eastAsia" w:ascii="仿宋_GB2312" w:hAnsi="仿宋_GB2312" w:eastAsia="仿宋_GB2312" w:cs="仿宋_GB2312"/>
          <w:color w:val="auto"/>
          <w:sz w:val="32"/>
          <w:szCs w:val="32"/>
          <w:lang w:val="en-US" w:eastAsia="zh-CN"/>
        </w:rPr>
        <w:t>，对于发生严重违规行为并造成不良影响的旗县（区）以及预算执行进度严重滞后的旗县（区），扣减下一年度补贴资金预算。</w:t>
      </w:r>
    </w:p>
    <w:p w14:paraId="592A551F">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（二）支出责任与兑付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color w:val="auto"/>
          <w:sz w:val="32"/>
          <w:szCs w:val="32"/>
          <w:lang w:val="en-US" w:eastAsia="zh-CN"/>
        </w:rPr>
        <w:t>我市按照《农业农村部、财政部关于贯彻落实中央一号文件要求开展农机</w:t>
      </w:r>
      <w:r>
        <w:rPr>
          <w:rFonts w:hint="eastAsia" w:ascii="仿宋_GB2312" w:hAnsi="仿宋_GB2312" w:eastAsia="仿宋_GB2312" w:cs="仿宋_GB2312"/>
          <w:snapToGrid w:val="0"/>
          <w:color w:val="auto"/>
          <w:sz w:val="32"/>
          <w:szCs w:val="32"/>
          <w:highlight w:val="none"/>
          <w:lang w:val="en-US" w:eastAsia="zh-CN"/>
        </w:rPr>
        <w:t>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03FE9A37">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3A5E9899">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620B900A">
      <w:pPr>
        <w:numPr>
          <w:ilvl w:val="0"/>
          <w:numId w:val="0"/>
        </w:numPr>
        <w:ind w:firstLine="640" w:firstLineChars="200"/>
        <w:rPr>
          <w:rFonts w:hint="eastAsia" w:ascii="仿宋_GB2312" w:hAnsi="仿宋_GB2312" w:eastAsia="仿宋_GB2312" w:cs="仿宋_GB2312"/>
          <w:snapToGrid w:val="0"/>
          <w:color w:val="auto"/>
          <w:sz w:val="32"/>
          <w:szCs w:val="32"/>
          <w:lang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全市各级农牧部门、财政部门按职责分工和有关规定发布本地区农机购置与应</w:t>
      </w:r>
      <w:r>
        <w:rPr>
          <w:rFonts w:hint="eastAsia" w:ascii="仿宋_GB2312" w:hAnsi="仿宋_GB2312" w:eastAsia="仿宋_GB2312" w:cs="仿宋_GB2312"/>
          <w:snapToGrid w:val="0"/>
          <w:color w:val="auto"/>
          <w:sz w:val="32"/>
          <w:szCs w:val="32"/>
        </w:rPr>
        <w:t>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14:paraId="0C6C97C9">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14:paraId="01203EE6">
      <w:pPr>
        <w:spacing w:line="600" w:lineRule="exact"/>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14:paraId="6EFB4A1E">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14:paraId="1352A167">
      <w:pPr>
        <w:widowControl/>
        <w:ind w:firstLine="640" w:firstLineChars="2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14:paraId="7216DF87">
      <w:pPr>
        <w:ind w:firstLine="640" w:firstLineChars="200"/>
        <w:rPr>
          <w:rFonts w:hint="eastAsia" w:ascii="仿宋_GB2312" w:hAnsi="仿宋_GB2312" w:eastAsia="仿宋_GB2312" w:cs="仿宋_GB2312"/>
          <w:snapToGrid w:val="0"/>
          <w:color w:val="auto"/>
          <w:sz w:val="32"/>
          <w:szCs w:val="32"/>
          <w:highlight w:val="none"/>
          <w:lang w:val="en-US" w:eastAsia="zh-CN"/>
        </w:rPr>
      </w:pPr>
      <w:r>
        <w:rPr>
          <w:rFonts w:hint="eastAsia" w:ascii="楷体_GB2312" w:hAnsi="楷体_GB2312" w:eastAsia="楷体_GB2312" w:cs="楷体_GB2312"/>
          <w:bCs/>
          <w:color w:val="auto"/>
          <w:sz w:val="32"/>
          <w:szCs w:val="32"/>
          <w:lang w:eastAsia="zh-CN"/>
        </w:rPr>
        <w:t>（六）</w:t>
      </w:r>
      <w:r>
        <w:rPr>
          <w:rFonts w:hint="eastAsia" w:ascii="楷体_GB2312" w:hAnsi="楷体_GB2312" w:eastAsia="楷体_GB2312" w:cs="楷体_GB2312"/>
          <w:bCs/>
          <w:color w:val="auto"/>
          <w:sz w:val="32"/>
          <w:szCs w:val="32"/>
          <w:lang w:val="en-US" w:eastAsia="zh-CN"/>
        </w:rPr>
        <w:t>机具核验</w:t>
      </w:r>
      <w:r>
        <w:rPr>
          <w:rFonts w:hint="eastAsia" w:ascii="楷体_GB2312" w:hAnsi="楷体_GB2312" w:eastAsia="楷体_GB2312" w:cs="楷体_GB2312"/>
          <w:bCs/>
          <w:color w:val="auto"/>
          <w:sz w:val="32"/>
          <w:szCs w:val="32"/>
          <w:lang w:eastAsia="zh-CN"/>
        </w:rPr>
        <w:t>。</w:t>
      </w:r>
      <w:r>
        <w:rPr>
          <w:rFonts w:hint="eastAsia" w:ascii="仿宋_GB2312" w:hAnsi="仿宋_GB2312" w:eastAsia="仿宋_GB2312" w:cs="仿宋_GB2312"/>
          <w:color w:val="auto"/>
          <w:sz w:val="32"/>
          <w:szCs w:val="32"/>
          <w:lang w:val="en-US" w:eastAsia="zh-CN"/>
        </w:rPr>
        <w:t>各旗县（区）探索多种形式进行机具抽查核实工作，提高补贴机具核验水平</w:t>
      </w:r>
      <w:r>
        <w:rPr>
          <w:rFonts w:hint="default" w:ascii="仿宋_GB2312" w:hAnsi="仿宋_GB2312" w:eastAsia="仿宋_GB2312" w:cs="仿宋_GB2312"/>
          <w:color w:val="auto"/>
          <w:sz w:val="32"/>
          <w:szCs w:val="32"/>
          <w:lang w:val="en" w:eastAsia="zh-CN"/>
        </w:rPr>
        <w:t>和进度</w:t>
      </w:r>
      <w:r>
        <w:rPr>
          <w:rFonts w:hint="eastAsia" w:ascii="仿宋_GB2312" w:hAnsi="仿宋_GB2312" w:eastAsia="仿宋_GB2312" w:cs="仿宋_GB2312"/>
          <w:color w:val="auto"/>
          <w:sz w:val="32"/>
          <w:szCs w:val="32"/>
          <w:lang w:val="en-US" w:eastAsia="zh-CN"/>
        </w:rPr>
        <w:t>。要求抽查核实总的比例为当年补贴购机总数的30%，其中140马力以上动力机械及自走式机具核实比例为90%以上，每种机型的抽查核实比例不低于5%。对部分机具设定以完成规定作业面积或作业量作为核验的前提条件，具体机具种类以办理服务系统设置为准。并</w:t>
      </w:r>
      <w:r>
        <w:rPr>
          <w:rFonts w:hint="eastAsia" w:ascii="仿宋_GB2312" w:hAnsi="仿宋_GB2312" w:eastAsia="仿宋_GB2312" w:cs="仿宋_GB2312"/>
          <w:snapToGrid w:val="0"/>
          <w:color w:val="auto"/>
          <w:sz w:val="32"/>
          <w:szCs w:val="32"/>
          <w:highlight w:val="none"/>
          <w:u w:val="none"/>
          <w:lang w:val="en-US" w:eastAsia="zh-CN"/>
        </w:rPr>
        <w:t>探索</w:t>
      </w:r>
      <w:r>
        <w:rPr>
          <w:rFonts w:hint="eastAsia" w:ascii="仿宋_GB2312" w:hAnsi="仿宋_GB2312" w:eastAsia="仿宋_GB2312" w:cs="仿宋_GB2312"/>
          <w:snapToGrid w:val="0"/>
          <w:color w:val="auto"/>
          <w:sz w:val="32"/>
          <w:szCs w:val="32"/>
          <w:lang w:val="en-US" w:eastAsia="zh-CN"/>
        </w:rPr>
        <w:t>打造农机管理干部、农机技术人员、第三方机构、有经验有意愿的农机使用一线“土专家”和农机手参加的核验队伍，切实强化核验工作人力资源保障。</w:t>
      </w:r>
      <w:r>
        <w:rPr>
          <w:rFonts w:hint="eastAsia" w:ascii="仿宋_GB2312" w:hAnsi="仿宋_GB2312" w:eastAsia="仿宋_GB2312" w:cs="仿宋_GB2312"/>
          <w:snapToGrid w:val="0"/>
          <w:color w:val="auto"/>
          <w:sz w:val="32"/>
          <w:szCs w:val="32"/>
          <w:highlight w:val="none"/>
          <w:lang w:val="en-US" w:eastAsia="zh-CN"/>
        </w:rPr>
        <w:t>对高风险机具，应逐台核验</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对安装类、设施类或安全风险较高类补贴机具，以及当地初次出现的高补贴额机具，在安装完成且生产应用一段时间后进行现场核验和补贴兑付</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对其他机具，各旗县（区）农机管理部门可结合实际确定抽查核验比例。对丘陵山区所用的量大</w:t>
      </w:r>
      <w:r>
        <w:rPr>
          <w:rFonts w:hint="eastAsia" w:ascii="仿宋_GB2312" w:hAnsi="仿宋_GB2312" w:eastAsia="仿宋_GB2312" w:cs="仿宋_GB2312"/>
          <w:snapToGrid w:val="0"/>
          <w:color w:val="auto"/>
          <w:sz w:val="32"/>
          <w:szCs w:val="32"/>
          <w:highlight w:val="none"/>
          <w:u w:val="none"/>
          <w:lang w:val="en-US" w:eastAsia="zh-CN"/>
        </w:rPr>
        <w:t>面广的小型机具，可结合实际制定实施便利化可监测的核验方法</w:t>
      </w:r>
      <w:r>
        <w:rPr>
          <w:rFonts w:hint="default" w:ascii="仿宋_GB2312" w:hAnsi="仿宋_GB2312" w:eastAsia="仿宋_GB2312" w:cs="仿宋_GB2312"/>
          <w:snapToGrid w:val="0"/>
          <w:color w:val="auto"/>
          <w:sz w:val="32"/>
          <w:szCs w:val="32"/>
          <w:highlight w:val="none"/>
          <w:u w:val="none"/>
          <w:lang w:val="en" w:eastAsia="zh-CN"/>
        </w:rPr>
        <w:t>；</w:t>
      </w:r>
      <w:r>
        <w:rPr>
          <w:rFonts w:hint="eastAsia" w:ascii="仿宋_GB2312" w:hAnsi="仿宋_GB2312" w:eastAsia="仿宋_GB2312" w:cs="仿宋_GB2312"/>
          <w:snapToGrid w:val="0"/>
          <w:color w:val="auto"/>
          <w:sz w:val="32"/>
          <w:szCs w:val="32"/>
          <w:highlight w:val="none"/>
          <w:lang w:val="en-US" w:eastAsia="zh-CN"/>
        </w:rPr>
        <w:t>对成套设施装备，农牧部门、财政部门可组织符合条件的第三方开展核验。</w:t>
      </w:r>
    </w:p>
    <w:p w14:paraId="3B88E25F">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08DEAAB3">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lang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default" w:ascii="仿宋_GB2312" w:hAnsi="仿宋_GB2312" w:eastAsia="仿宋_GB2312" w:cs="仿宋_GB2312"/>
          <w:snapToGrid w:val="0"/>
          <w:color w:val="auto"/>
          <w:sz w:val="32"/>
          <w:szCs w:val="32"/>
          <w:highlight w:val="none"/>
          <w:u w:val="none"/>
          <w:lang w:val="en-US" w:eastAsia="zh-CN"/>
        </w:rPr>
        <w:t>补贴申领原则上当年有效</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因当年财政补贴资金规模不够、办理手续时间紧张等原因确实难以完成兑付的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可在办理服务系统中进行预登记申请</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告知并稳定购机者预期</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14:paraId="15A9674C">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44999A11">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15450835">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390DB58C">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加强领导</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w:t>
      </w:r>
      <w:r>
        <w:rPr>
          <w:rFonts w:hint="eastAsia" w:ascii="仿宋_GB2312" w:hAnsi="仿宋_GB2312" w:eastAsia="仿宋_GB2312" w:cs="仿宋_GB2312"/>
          <w:snapToGrid w:val="0"/>
          <w:color w:val="auto"/>
          <w:sz w:val="32"/>
          <w:szCs w:val="32"/>
          <w:highlight w:val="none"/>
          <w:lang w:val="en-US" w:eastAsia="zh-CN"/>
        </w:rPr>
        <w:t>农牧部门组织实施、</w:t>
      </w:r>
      <w:r>
        <w:rPr>
          <w:rFonts w:hint="default" w:ascii="仿宋_GB2312" w:hAnsi="仿宋_GB2312" w:eastAsia="仿宋_GB2312" w:cs="仿宋_GB2312"/>
          <w:snapToGrid w:val="0"/>
          <w:color w:val="auto"/>
          <w:sz w:val="32"/>
          <w:szCs w:val="32"/>
          <w:highlight w:val="none"/>
          <w:lang w:val="en-US" w:eastAsia="zh-CN"/>
        </w:rPr>
        <w:t>审核监管责任和财政部</w:t>
      </w:r>
      <w:r>
        <w:rPr>
          <w:rFonts w:hint="default" w:ascii="仿宋_GB2312" w:hAnsi="仿宋_GB2312" w:eastAsia="仿宋_GB2312" w:cs="仿宋_GB2312"/>
          <w:snapToGrid w:val="0"/>
          <w:color w:val="auto"/>
          <w:sz w:val="32"/>
          <w:szCs w:val="32"/>
          <w:lang w:val="en-US" w:eastAsia="zh-CN"/>
        </w:rPr>
        <w:t>门资金兑付、资金监管责任。要加强绩效管理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形成管理闭环</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切实提升政策实施管理工作能力水平</w:t>
      </w:r>
      <w:r>
        <w:rPr>
          <w:rFonts w:hint="eastAsia" w:ascii="仿宋_GB2312" w:hAnsi="仿宋_GB2312" w:eastAsia="仿宋_GB2312" w:cs="仿宋_GB2312"/>
          <w:snapToGrid w:val="0"/>
          <w:color w:val="auto"/>
          <w:sz w:val="32"/>
          <w:szCs w:val="32"/>
          <w:lang w:val="en-US" w:eastAsia="zh-CN"/>
        </w:rPr>
        <w:t>。</w:t>
      </w:r>
    </w:p>
    <w:p w14:paraId="54192F37">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default" w:ascii="楷体_GB2312" w:hAnsi="楷体_GB2312" w:eastAsia="楷体_GB2312" w:cs="楷体_GB2312"/>
          <w:bCs/>
          <w:color w:val="auto"/>
          <w:sz w:val="32"/>
          <w:szCs w:val="32"/>
          <w:lang w:val="en-US" w:eastAsia="zh-CN"/>
        </w:rPr>
        <w:t>创新鉴定</w:t>
      </w:r>
      <w:r>
        <w:rPr>
          <w:rFonts w:hint="eastAsia" w:ascii="楷体_GB2312" w:hAnsi="楷体_GB2312" w:eastAsia="楷体_GB2312" w:cs="楷体_GB2312"/>
          <w:bCs/>
          <w:color w:val="auto"/>
          <w:sz w:val="32"/>
          <w:szCs w:val="32"/>
          <w:lang w:val="en-US" w:eastAsia="zh-CN"/>
        </w:rPr>
        <w:t>，</w:t>
      </w:r>
      <w:r>
        <w:rPr>
          <w:rFonts w:hint="default" w:ascii="楷体_GB2312" w:hAnsi="楷体_GB2312" w:eastAsia="楷体_GB2312" w:cs="楷体_GB2312"/>
          <w:bCs/>
          <w:color w:val="auto"/>
          <w:sz w:val="32"/>
          <w:szCs w:val="32"/>
          <w:lang w:val="en-US" w:eastAsia="zh-CN"/>
        </w:rPr>
        <w:t>强化支撑。</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强化证前核查证后监督</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按农业农村部、财政部有关要求</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可委托外省有鉴定能力的机构鉴定</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联合有关部门加快提升农机试验鉴定(认证)及检验检测能力</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加强鉴定(认证)证书及其采信的检验检测报告等投档资料规范性抽查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对多次或重复出现问题以及违规风险较大的鉴定(认证) 机构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依法依规进行查处。建立健全鉴定(认证)补贴联动机制</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对鉴定(认证)过程中发现的粗制滥造、可靠性差、适用性差、涉嫌非农用等异常情形</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要及时形成工作清单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加强对有关企业的跟踪监管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严把鉴定(认证)证书发放关口</w:t>
      </w:r>
      <w:r>
        <w:rPr>
          <w:rFonts w:hint="default" w:ascii="仿宋_GB2312" w:hAnsi="仿宋_GB2312" w:eastAsia="仿宋_GB2312" w:cs="仿宋_GB2312"/>
          <w:snapToGrid w:val="0"/>
          <w:color w:val="auto"/>
          <w:sz w:val="32"/>
          <w:szCs w:val="32"/>
          <w:lang w:val="en" w:eastAsia="zh-CN"/>
        </w:rPr>
        <w:t>；</w:t>
      </w:r>
      <w:r>
        <w:rPr>
          <w:rFonts w:hint="default" w:ascii="仿宋_GB2312" w:hAnsi="仿宋_GB2312" w:eastAsia="仿宋_GB2312" w:cs="仿宋_GB2312"/>
          <w:snapToGrid w:val="0"/>
          <w:color w:val="auto"/>
          <w:sz w:val="32"/>
          <w:szCs w:val="32"/>
          <w:lang w:val="en-US" w:eastAsia="zh-CN"/>
        </w:rPr>
        <w:t>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发现问题的要及时调查处理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同时采取封闭措施</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商属地财政部门后</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暂停受理相关产品的补贴申请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强化抽查结果运用</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将认证或检测工作质量较差的认证机构或第三方机构纳入“黑名单”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对其出具的认证结果或检测结果不予采信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并以适当方式通报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14:paraId="1234115A">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旗县（区）依托办理服务系统动态分析办理补贴申请具体时限，及时预警和定期通报超时办理行为，切实加快补贴申请受理、资料审核、机具核验、资金兑付等工作。畅通产业链供应链，营造良好营商环境</w:t>
      </w:r>
      <w:r>
        <w:rPr>
          <w:rFonts w:hint="eastAsia" w:ascii="仿宋_GB2312" w:hAnsi="仿宋_GB2312" w:eastAsia="仿宋_GB2312" w:cs="仿宋_GB2312"/>
          <w:snapToGrid w:val="0"/>
          <w:color w:val="auto"/>
          <w:sz w:val="32"/>
          <w:szCs w:val="32"/>
        </w:rPr>
        <w:t>，保障市场主体合法权益。提高补贴机具核验信息化水平，加快农机试验鉴定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14:paraId="14CDF9A8">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（四）</w:t>
      </w:r>
      <w:r>
        <w:rPr>
          <w:rFonts w:hint="eastAsia" w:ascii="楷体_GB2312" w:hAnsi="楷体_GB2312" w:eastAsia="楷体_GB2312" w:cs="楷体_GB2312"/>
          <w:bCs/>
          <w:color w:val="auto"/>
          <w:sz w:val="32"/>
          <w:szCs w:val="32"/>
        </w:rPr>
        <w:t>公开信息</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综合运用各类媒体和多种宣传方式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通过补贴政策信息上门、指导服务上门等</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全方位开展宣传解读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着力提升政策知晓度和实施透明度。要及时主动回应购机者关注的重点事项，正确引导舆论，稳定购机者预期</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按年度公告近三年县域内补贴受益信息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公开违规查处结果等信息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主动接受社会监督。</w:t>
      </w:r>
    </w:p>
    <w:p w14:paraId="1312EDA4">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加强监管</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w:t>
      </w:r>
      <w:r>
        <w:rPr>
          <w:rFonts w:hint="eastAsia" w:ascii="仿宋_GB2312" w:hAnsi="仿宋_GB2312" w:eastAsia="仿宋_GB2312" w:cs="仿宋_GB2312"/>
          <w:snapToGrid w:val="0"/>
          <w:color w:val="auto"/>
          <w:kern w:val="2"/>
          <w:sz w:val="32"/>
          <w:szCs w:val="32"/>
          <w:lang w:eastAsia="zh-CN"/>
        </w:rPr>
        <w:t>等相关</w:t>
      </w:r>
      <w:r>
        <w:rPr>
          <w:rFonts w:hint="eastAsia" w:ascii="仿宋_GB2312" w:hAnsi="仿宋_GB2312" w:eastAsia="仿宋_GB2312" w:cs="仿宋_GB2312"/>
          <w:snapToGrid w:val="0"/>
          <w:color w:val="auto"/>
          <w:kern w:val="2"/>
          <w:sz w:val="32"/>
          <w:szCs w:val="32"/>
        </w:rPr>
        <w:t>要求</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严格落实属地管理责任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加强风险防控和异常情形主动报告</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更加严格实施信用管理和农机产销企业承诺制。要充分发挥专业机构的技术优势和大数据的信息优势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有效开展违规行为全流程分析排查</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其他部门支持的联合查处和省际联动处理</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对违法违规行为保持“零容忍”高压态势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从严整治违法违规行为</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涉嫌犯罪的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移交司法机关予以查处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有力维护政策实施良好秩序。</w:t>
      </w:r>
    </w:p>
    <w:p w14:paraId="2CD95F42">
      <w:pPr>
        <w:ind w:firstLine="640" w:firstLineChars="200"/>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rPr>
        <w:t>各</w:t>
      </w:r>
      <w:r>
        <w:rPr>
          <w:rFonts w:hint="eastAsia" w:ascii="仿宋_GB2312" w:hAnsi="仿宋_GB2312" w:eastAsia="仿宋_GB2312" w:cs="仿宋_GB2312"/>
          <w:snapToGrid w:val="0"/>
          <w:color w:val="auto"/>
          <w:sz w:val="32"/>
          <w:szCs w:val="32"/>
          <w:lang w:eastAsia="zh-CN"/>
        </w:rPr>
        <w:t>旗县（区）</w:t>
      </w:r>
      <w:r>
        <w:rPr>
          <w:rFonts w:hint="eastAsia" w:ascii="仿宋_GB2312" w:hAnsi="仿宋_GB2312" w:eastAsia="仿宋_GB2312" w:cs="仿宋_GB2312"/>
          <w:snapToGrid w:val="0"/>
          <w:color w:val="auto"/>
          <w:sz w:val="32"/>
          <w:szCs w:val="32"/>
        </w:rPr>
        <w:t>农牧部门、财政部门要根据本实施方案，结合实</w:t>
      </w:r>
      <w:r>
        <w:rPr>
          <w:rFonts w:hint="eastAsia" w:ascii="仿宋_GB2312" w:hAnsi="仿宋_GB2312" w:eastAsia="仿宋_GB2312" w:cs="仿宋_GB2312"/>
          <w:snapToGrid w:val="0"/>
          <w:color w:val="auto"/>
          <w:sz w:val="32"/>
          <w:szCs w:val="32"/>
          <w:lang w:eastAsia="zh-CN"/>
        </w:rPr>
        <w:t>际制定本旗县（区）2024—2026年农机购置与应用补贴实施方案。每年</w:t>
      </w:r>
      <w:r>
        <w:rPr>
          <w:rFonts w:hint="eastAsia" w:ascii="仿宋_GB2312" w:hAnsi="仿宋_GB2312" w:eastAsia="仿宋_GB2312" w:cs="仿宋_GB2312"/>
          <w:snapToGrid w:val="0"/>
          <w:color w:val="auto"/>
          <w:sz w:val="32"/>
          <w:szCs w:val="32"/>
          <w:lang w:val="en-US" w:eastAsia="zh-CN"/>
        </w:rPr>
        <w:t>11</w:t>
      </w:r>
      <w:r>
        <w:rPr>
          <w:rFonts w:hint="eastAsia" w:ascii="仿宋_GB2312" w:hAnsi="仿宋_GB2312" w:eastAsia="仿宋_GB2312" w:cs="仿宋_GB2312"/>
          <w:snapToGrid w:val="0"/>
          <w:color w:val="auto"/>
          <w:sz w:val="32"/>
          <w:szCs w:val="32"/>
          <w:lang w:eastAsia="zh-CN"/>
        </w:rPr>
        <w:t>月</w:t>
      </w:r>
      <w:r>
        <w:rPr>
          <w:rFonts w:hint="eastAsia" w:ascii="仿宋_GB2312" w:hAnsi="仿宋_GB2312" w:eastAsia="仿宋_GB2312" w:cs="仿宋_GB2312"/>
          <w:snapToGrid w:val="0"/>
          <w:color w:val="auto"/>
          <w:sz w:val="32"/>
          <w:szCs w:val="32"/>
          <w:lang w:val="en-US" w:eastAsia="zh-CN"/>
        </w:rPr>
        <w:t>25</w:t>
      </w:r>
      <w:r>
        <w:rPr>
          <w:rFonts w:hint="eastAsia" w:ascii="仿宋_GB2312" w:hAnsi="仿宋_GB2312" w:eastAsia="仿宋_GB2312" w:cs="仿宋_GB2312"/>
          <w:snapToGrid w:val="0"/>
          <w:color w:val="auto"/>
          <w:sz w:val="32"/>
          <w:szCs w:val="32"/>
          <w:lang w:eastAsia="zh-CN"/>
        </w:rPr>
        <w:t>日前，报送全年农机购置与应用补贴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lang w:eastAsia="zh-CN"/>
        </w:rPr>
        <w:t>实施总结</w:t>
      </w:r>
      <w:r>
        <w:rPr>
          <w:rFonts w:hint="eastAsia" w:ascii="仿宋_GB2312" w:hAnsi="仿宋_GB2312" w:eastAsia="仿宋_GB2312" w:cs="仿宋_GB2312"/>
          <w:snapToGrid w:val="0"/>
          <w:color w:val="auto"/>
          <w:sz w:val="32"/>
          <w:szCs w:val="32"/>
          <w:lang w:val="en-US" w:eastAsia="zh-CN"/>
        </w:rPr>
        <w:t>报告</w:t>
      </w:r>
      <w:r>
        <w:rPr>
          <w:rFonts w:hint="eastAsia" w:ascii="仿宋_GB2312" w:hAnsi="仿宋_GB2312" w:eastAsia="仿宋_GB2312" w:cs="仿宋_GB2312"/>
          <w:snapToGrid w:val="0"/>
          <w:color w:val="auto"/>
          <w:sz w:val="32"/>
          <w:szCs w:val="32"/>
          <w:lang w:eastAsia="zh-CN"/>
        </w:rPr>
        <w:t>。</w:t>
      </w:r>
    </w:p>
    <w:p w14:paraId="6658AE21">
      <w:pPr>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14:paraId="6F7C6CCD">
      <w:pPr>
        <w:ind w:firstLine="640" w:firstLineChars="200"/>
        <w:jc w:val="both"/>
        <w:rPr>
          <w:rFonts w:hint="eastAsia" w:ascii="仿宋_GB2312" w:hAnsi="仿宋_GB2312" w:eastAsia="仿宋_GB2312" w:cs="仿宋_GB2312"/>
          <w:snapToGrid w:val="0"/>
          <w:color w:val="auto"/>
          <w:sz w:val="32"/>
          <w:szCs w:val="32"/>
        </w:rPr>
      </w:pPr>
    </w:p>
    <w:p w14:paraId="4641A2B4">
      <w:pPr>
        <w:pStyle w:val="4"/>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14:paraId="3F7701D4">
      <w:pPr>
        <w:pStyle w:val="4"/>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14:paraId="63CF0BF0">
      <w:pPr>
        <w:pStyle w:val="4"/>
        <w:widowControl w:val="0"/>
        <w:numPr>
          <w:ilvl w:val="0"/>
          <w:numId w:val="2"/>
        </w:numPr>
        <w:snapToGrid w:val="0"/>
        <w:spacing w:before="0" w:beforeAutospacing="0" w:after="0" w:afterAutospacing="0" w:line="600" w:lineRule="exact"/>
        <w:ind w:firstLine="1600" w:firstLineChars="500"/>
        <w:jc w:val="both"/>
        <w:rPr>
          <w:rFonts w:hint="eastAsia"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内蒙古销售补贴机具基本信息单</w:t>
      </w:r>
    </w:p>
    <w:p w14:paraId="2091AA86">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114B7168">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4139A2BF">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45B2C83A">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098FD13D">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2B3D354F">
      <w:pPr>
        <w:pStyle w:val="4"/>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0693A3E8">
      <w:pPr>
        <w:rPr>
          <w:rFonts w:ascii="宋体" w:hAnsi="宋体" w:eastAsia="宋体" w:cs="宋体"/>
          <w:color w:val="auto"/>
          <w:kern w:val="0"/>
          <w:sz w:val="24"/>
        </w:rPr>
      </w:pPr>
    </w:p>
    <w:p w14:paraId="2011A5AA">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6896B5A5">
      <w:pPr>
        <w:pStyle w:val="5"/>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6A77A06D">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3C96586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6C0BE31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7594675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622C1B4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19AFA41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1031C9E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1B03615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4823D80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3CD952F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4C85BCC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7FBB70F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6E3A13F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7865139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332F022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5265D14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74B405C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77986CE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55CBD36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08D9C12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587C3C8E">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3CD84BE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5909727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036D7D7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622C99A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4B8BE64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264C3DB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6031EFC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4CE21D6B">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1CAA78C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2396CCF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739E015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133A792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24A956C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0F6573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6DFB708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6CCF0ED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4206D55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7932693D">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14:paraId="61C8EE5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29FFB3CB">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77E8211A">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742FF7C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0E0E15D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51D3605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2917EAF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1287031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0FD7332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4E7C3A8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1A2FE2B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106123C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4A64266A">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43200E9D">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41E0B440">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4D6CDD2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4141549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55B6078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2ECC041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0D8DAF7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003ADE3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01B74ED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249B1DF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0E02D92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007A398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68A68BC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47AB922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053D28C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4A819B2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34FC96D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22F3F58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045362E4">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4DA0432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49D29CD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5078DFC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646437B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669D9EC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78599CF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0B9C0FF0">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14:paraId="2C1DE2E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26F70BF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2768D04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5F9CA9A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3D6DFF5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71BB53B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373709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6AB85F7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59910A0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5B7AE82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027EEB5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156731CF">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1F281547">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0515CEE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04A0AE4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185E273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4B5B760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39C94C2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7877EA5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3C7C4D5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6616AC6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6B502D9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14:paraId="3547E7D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6CFB4E5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5D9A463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6583598C">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160C91D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6131F48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4B1DB56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1BA7FDF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62FC9A0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19ADDA3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08A653B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4106FCB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628ABC4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79CC0C3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2F45C11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1165B3F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14406F1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50F64D5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6053DA9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796FF26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1F04E4E6">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6B7680F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79FBE6A2">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6C4B32F8">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3014608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07B1D5F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59FCE5D5">
      <w:pPr>
        <w:widowControl/>
        <w:numPr>
          <w:ilvl w:val="0"/>
          <w:numId w:val="3"/>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6CBFF08A">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4C19B033">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64F1F9A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5E43400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0EFCDE5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4674F933">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05186A9B">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297C173B">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7AB62DD9">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15771B25">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3D4948AE">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1DAF4AD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333B038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0C59E78A">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492FB8A7">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03837DA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677094D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61FF138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420CF47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246C5DC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7F489D8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24425EA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1ED994D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44613A5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7C9A5D2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27C19B2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0C391F1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5C59665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160EE76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60D7AD5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67F7A14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755E0908">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5B0A0BB8">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4921CCB9">
      <w:pPr>
        <w:rPr>
          <w:rFonts w:hint="eastAsia" w:ascii="黑体" w:hAnsi="黑体" w:eastAsia="黑体" w:cs="黑体"/>
          <w:color w:val="auto"/>
          <w:kern w:val="0"/>
          <w:sz w:val="32"/>
          <w:szCs w:val="32"/>
        </w:rPr>
      </w:pPr>
    </w:p>
    <w:p w14:paraId="783AEE2D">
      <w:pPr>
        <w:rPr>
          <w:rFonts w:hint="eastAsia" w:ascii="黑体" w:hAnsi="黑体" w:eastAsia="黑体" w:cs="黑体"/>
          <w:color w:val="auto"/>
          <w:kern w:val="0"/>
          <w:sz w:val="32"/>
          <w:szCs w:val="32"/>
        </w:rPr>
      </w:pPr>
    </w:p>
    <w:p w14:paraId="18DE5E74">
      <w:pPr>
        <w:rPr>
          <w:rFonts w:hint="eastAsia" w:ascii="黑体" w:hAnsi="黑体" w:eastAsia="黑体" w:cs="黑体"/>
          <w:color w:val="auto"/>
          <w:kern w:val="0"/>
          <w:sz w:val="32"/>
          <w:szCs w:val="32"/>
        </w:rPr>
      </w:pPr>
    </w:p>
    <w:p w14:paraId="4A383F4E">
      <w:pPr>
        <w:rPr>
          <w:rFonts w:hint="eastAsia" w:ascii="黑体" w:hAnsi="黑体" w:eastAsia="黑体" w:cs="黑体"/>
          <w:color w:val="auto"/>
          <w:kern w:val="0"/>
          <w:sz w:val="32"/>
          <w:szCs w:val="32"/>
        </w:rPr>
      </w:pPr>
    </w:p>
    <w:p w14:paraId="463AF28B">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58A57F95">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7BC86923">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1F42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4B1DFCD">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57C4F735">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61073302">
            <w:pPr>
              <w:spacing w:line="400" w:lineRule="exact"/>
              <w:jc w:val="center"/>
              <w:rPr>
                <w:rFonts w:eastAsia="黑体"/>
                <w:color w:val="auto"/>
                <w:sz w:val="28"/>
                <w:szCs w:val="28"/>
              </w:rPr>
            </w:pPr>
            <w:r>
              <w:rPr>
                <w:rFonts w:eastAsia="黑体"/>
                <w:color w:val="auto"/>
                <w:sz w:val="28"/>
                <w:szCs w:val="28"/>
              </w:rPr>
              <w:t>备注</w:t>
            </w:r>
          </w:p>
        </w:tc>
      </w:tr>
      <w:tr w14:paraId="5CA7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F2006B2">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231B0755">
            <w:pPr>
              <w:spacing w:line="400" w:lineRule="exact"/>
              <w:rPr>
                <w:rFonts w:eastAsia="仿宋_GB2312"/>
                <w:color w:val="auto"/>
                <w:sz w:val="28"/>
                <w:szCs w:val="28"/>
              </w:rPr>
            </w:pPr>
          </w:p>
        </w:tc>
      </w:tr>
      <w:tr w14:paraId="0B25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058E840">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508B6B71">
            <w:pPr>
              <w:spacing w:line="400" w:lineRule="exact"/>
              <w:rPr>
                <w:rFonts w:eastAsia="仿宋_GB2312"/>
                <w:color w:val="auto"/>
                <w:sz w:val="28"/>
                <w:szCs w:val="28"/>
              </w:rPr>
            </w:pPr>
          </w:p>
        </w:tc>
        <w:tc>
          <w:tcPr>
            <w:tcW w:w="1074" w:type="dxa"/>
            <w:noWrap/>
          </w:tcPr>
          <w:p w14:paraId="7430C3AB">
            <w:pPr>
              <w:spacing w:line="400" w:lineRule="exact"/>
              <w:rPr>
                <w:rFonts w:eastAsia="仿宋_GB2312"/>
                <w:color w:val="auto"/>
                <w:sz w:val="28"/>
                <w:szCs w:val="28"/>
              </w:rPr>
            </w:pPr>
          </w:p>
        </w:tc>
      </w:tr>
      <w:tr w14:paraId="09F1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D199354">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3911DAED">
            <w:pPr>
              <w:spacing w:line="400" w:lineRule="exact"/>
              <w:rPr>
                <w:rFonts w:eastAsia="仿宋_GB2312"/>
                <w:color w:val="auto"/>
                <w:sz w:val="28"/>
                <w:szCs w:val="28"/>
              </w:rPr>
            </w:pPr>
          </w:p>
        </w:tc>
        <w:tc>
          <w:tcPr>
            <w:tcW w:w="1074" w:type="dxa"/>
            <w:noWrap/>
          </w:tcPr>
          <w:p w14:paraId="5708A724">
            <w:pPr>
              <w:spacing w:line="400" w:lineRule="exact"/>
              <w:rPr>
                <w:rFonts w:eastAsia="仿宋_GB2312"/>
                <w:color w:val="auto"/>
                <w:sz w:val="28"/>
                <w:szCs w:val="28"/>
              </w:rPr>
            </w:pPr>
          </w:p>
        </w:tc>
      </w:tr>
      <w:tr w14:paraId="5D0E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49A65B6">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19F05F6F">
            <w:pPr>
              <w:spacing w:line="400" w:lineRule="exact"/>
              <w:rPr>
                <w:rFonts w:eastAsia="仿宋_GB2312"/>
                <w:color w:val="auto"/>
                <w:sz w:val="28"/>
                <w:szCs w:val="28"/>
              </w:rPr>
            </w:pPr>
          </w:p>
        </w:tc>
        <w:tc>
          <w:tcPr>
            <w:tcW w:w="1074" w:type="dxa"/>
            <w:noWrap/>
          </w:tcPr>
          <w:p w14:paraId="6B9159CE">
            <w:pPr>
              <w:spacing w:line="400" w:lineRule="exact"/>
              <w:rPr>
                <w:rFonts w:eastAsia="仿宋_GB2312"/>
                <w:color w:val="auto"/>
                <w:sz w:val="28"/>
                <w:szCs w:val="28"/>
              </w:rPr>
            </w:pPr>
          </w:p>
        </w:tc>
      </w:tr>
      <w:tr w14:paraId="364A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3A94BCF">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3638C065">
            <w:pPr>
              <w:spacing w:line="400" w:lineRule="exact"/>
              <w:rPr>
                <w:rFonts w:eastAsia="仿宋_GB2312"/>
                <w:color w:val="auto"/>
                <w:sz w:val="28"/>
                <w:szCs w:val="28"/>
              </w:rPr>
            </w:pPr>
          </w:p>
        </w:tc>
        <w:tc>
          <w:tcPr>
            <w:tcW w:w="1074" w:type="dxa"/>
            <w:noWrap/>
          </w:tcPr>
          <w:p w14:paraId="10556ABC">
            <w:pPr>
              <w:spacing w:line="400" w:lineRule="exact"/>
              <w:rPr>
                <w:rFonts w:eastAsia="仿宋_GB2312"/>
                <w:color w:val="auto"/>
                <w:sz w:val="28"/>
                <w:szCs w:val="28"/>
              </w:rPr>
            </w:pPr>
          </w:p>
        </w:tc>
      </w:tr>
      <w:tr w14:paraId="4629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18BF317">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4A5063A3">
            <w:pPr>
              <w:spacing w:line="400" w:lineRule="exact"/>
              <w:rPr>
                <w:rFonts w:eastAsia="仿宋_GB2312"/>
                <w:color w:val="auto"/>
                <w:sz w:val="28"/>
                <w:szCs w:val="28"/>
              </w:rPr>
            </w:pPr>
          </w:p>
        </w:tc>
        <w:tc>
          <w:tcPr>
            <w:tcW w:w="1074" w:type="dxa"/>
            <w:noWrap/>
          </w:tcPr>
          <w:p w14:paraId="56188322">
            <w:pPr>
              <w:spacing w:line="400" w:lineRule="exact"/>
              <w:rPr>
                <w:rFonts w:eastAsia="仿宋_GB2312"/>
                <w:color w:val="auto"/>
                <w:sz w:val="28"/>
                <w:szCs w:val="28"/>
              </w:rPr>
            </w:pPr>
          </w:p>
        </w:tc>
      </w:tr>
      <w:tr w14:paraId="6416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944B3C7">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0F59F752">
            <w:pPr>
              <w:spacing w:line="400" w:lineRule="exact"/>
              <w:rPr>
                <w:rFonts w:eastAsia="仿宋_GB2312"/>
                <w:color w:val="auto"/>
                <w:sz w:val="28"/>
                <w:szCs w:val="28"/>
              </w:rPr>
            </w:pPr>
          </w:p>
        </w:tc>
        <w:tc>
          <w:tcPr>
            <w:tcW w:w="1074" w:type="dxa"/>
            <w:noWrap/>
          </w:tcPr>
          <w:p w14:paraId="1F215A83">
            <w:pPr>
              <w:spacing w:line="400" w:lineRule="exact"/>
              <w:rPr>
                <w:rFonts w:eastAsia="仿宋_GB2312"/>
                <w:color w:val="auto"/>
                <w:sz w:val="28"/>
                <w:szCs w:val="28"/>
              </w:rPr>
            </w:pPr>
          </w:p>
        </w:tc>
      </w:tr>
      <w:tr w14:paraId="2842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18441D7">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1F8B5197">
            <w:pPr>
              <w:spacing w:line="400" w:lineRule="exact"/>
              <w:rPr>
                <w:rFonts w:eastAsia="仿宋_GB2312"/>
                <w:color w:val="auto"/>
                <w:sz w:val="28"/>
                <w:szCs w:val="28"/>
              </w:rPr>
            </w:pPr>
          </w:p>
        </w:tc>
        <w:tc>
          <w:tcPr>
            <w:tcW w:w="1074" w:type="dxa"/>
            <w:noWrap/>
          </w:tcPr>
          <w:p w14:paraId="2FA11ED1">
            <w:pPr>
              <w:spacing w:line="400" w:lineRule="exact"/>
              <w:rPr>
                <w:rFonts w:eastAsia="仿宋_GB2312"/>
                <w:color w:val="auto"/>
                <w:sz w:val="28"/>
                <w:szCs w:val="28"/>
              </w:rPr>
            </w:pPr>
          </w:p>
        </w:tc>
      </w:tr>
      <w:tr w14:paraId="10B3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72947F9">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686DDFC6">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19CE5CF8">
            <w:pPr>
              <w:spacing w:line="400" w:lineRule="exact"/>
              <w:rPr>
                <w:rFonts w:eastAsia="仿宋_GB2312"/>
                <w:color w:val="auto"/>
                <w:sz w:val="28"/>
                <w:szCs w:val="28"/>
              </w:rPr>
            </w:pPr>
          </w:p>
        </w:tc>
      </w:tr>
      <w:tr w14:paraId="3ECA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9A404B6">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1D9C8E08">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0BCB19B1">
            <w:pPr>
              <w:spacing w:line="400" w:lineRule="exact"/>
              <w:rPr>
                <w:rFonts w:eastAsia="仿宋_GB2312"/>
                <w:color w:val="auto"/>
                <w:sz w:val="28"/>
                <w:szCs w:val="28"/>
              </w:rPr>
            </w:pPr>
          </w:p>
        </w:tc>
      </w:tr>
      <w:tr w14:paraId="29B9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1067890">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211E8D15">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5DCB89FC">
            <w:pPr>
              <w:spacing w:line="400" w:lineRule="exact"/>
              <w:rPr>
                <w:rFonts w:eastAsia="仿宋_GB2312"/>
                <w:color w:val="auto"/>
                <w:sz w:val="28"/>
                <w:szCs w:val="28"/>
              </w:rPr>
            </w:pPr>
          </w:p>
        </w:tc>
        <w:tc>
          <w:tcPr>
            <w:tcW w:w="943" w:type="dxa"/>
            <w:noWrap/>
          </w:tcPr>
          <w:p w14:paraId="12FB974D">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30B163C4">
            <w:pPr>
              <w:spacing w:line="400" w:lineRule="exact"/>
              <w:rPr>
                <w:rFonts w:eastAsia="仿宋_GB2312"/>
                <w:color w:val="auto"/>
                <w:sz w:val="28"/>
                <w:szCs w:val="28"/>
              </w:rPr>
            </w:pPr>
          </w:p>
        </w:tc>
        <w:tc>
          <w:tcPr>
            <w:tcW w:w="1074" w:type="dxa"/>
            <w:noWrap/>
          </w:tcPr>
          <w:p w14:paraId="3D6FD262">
            <w:pPr>
              <w:spacing w:line="400" w:lineRule="exact"/>
              <w:rPr>
                <w:rFonts w:eastAsia="仿宋_GB2312"/>
                <w:color w:val="auto"/>
                <w:sz w:val="28"/>
                <w:szCs w:val="28"/>
              </w:rPr>
            </w:pPr>
          </w:p>
        </w:tc>
      </w:tr>
      <w:tr w14:paraId="4EB8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C92B68E">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2DBFC435">
            <w:pPr>
              <w:spacing w:line="400" w:lineRule="exact"/>
              <w:rPr>
                <w:rFonts w:eastAsia="仿宋_GB2312"/>
                <w:color w:val="auto"/>
                <w:sz w:val="28"/>
                <w:szCs w:val="28"/>
              </w:rPr>
            </w:pPr>
          </w:p>
        </w:tc>
        <w:tc>
          <w:tcPr>
            <w:tcW w:w="1074" w:type="dxa"/>
            <w:noWrap/>
          </w:tcPr>
          <w:p w14:paraId="6AC28777">
            <w:pPr>
              <w:spacing w:line="400" w:lineRule="exact"/>
              <w:rPr>
                <w:rFonts w:eastAsia="仿宋_GB2312"/>
                <w:color w:val="auto"/>
                <w:sz w:val="28"/>
                <w:szCs w:val="28"/>
              </w:rPr>
            </w:pPr>
          </w:p>
        </w:tc>
      </w:tr>
      <w:tr w14:paraId="0DEA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31ED0148">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25CEE1E1">
            <w:pPr>
              <w:spacing w:line="400" w:lineRule="exact"/>
              <w:rPr>
                <w:rFonts w:eastAsia="仿宋_GB2312"/>
                <w:color w:val="auto"/>
                <w:sz w:val="28"/>
                <w:szCs w:val="28"/>
              </w:rPr>
            </w:pPr>
          </w:p>
        </w:tc>
      </w:tr>
    </w:tbl>
    <w:p w14:paraId="7911C5B7">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注：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4405788D">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2.购机者要当场向供货企业索取此表，自行填写购机者姓名、身份证号后作为申请农机购置</w:t>
      </w:r>
      <w:r>
        <w:rPr>
          <w:rFonts w:hint="eastAsia" w:ascii="仿宋_GB2312" w:eastAsia="仿宋_GB2312"/>
          <w:color w:val="auto"/>
          <w:sz w:val="24"/>
          <w:lang w:eastAsia="zh-CN"/>
        </w:rPr>
        <w:t>与应用</w:t>
      </w:r>
      <w:r>
        <w:rPr>
          <w:rFonts w:hint="eastAsia" w:ascii="仿宋_GB2312" w:eastAsia="仿宋_GB2312"/>
          <w:color w:val="auto"/>
          <w:sz w:val="24"/>
        </w:rPr>
        <w:t>补贴依据。</w:t>
      </w:r>
    </w:p>
    <w:p w14:paraId="7C384ED8">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3.旗县（区）农牧部门要将此表作为购机者申请农机购置与应用补贴资料留存入档。</w:t>
      </w:r>
    </w:p>
    <w:p w14:paraId="39287F59">
      <w:pPr>
        <w:spacing w:line="400" w:lineRule="exact"/>
        <w:ind w:firstLine="480" w:firstLineChars="200"/>
        <w:rPr>
          <w:rFonts w:hint="eastAsia" w:ascii="仿宋_GB2312" w:eastAsia="仿宋_GB2312"/>
          <w:color w:val="auto"/>
          <w:sz w:val="24"/>
        </w:rPr>
      </w:pPr>
    </w:p>
    <w:p w14:paraId="070785E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0B752CF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5570CA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267A0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385DE6D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449EBB4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506BC3C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18D647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4148F1E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2E1E958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A569AC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4EBF694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D643BF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220504A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tbl>
      <w:tblPr>
        <w:tblStyle w:val="6"/>
        <w:tblpPr w:leftFromText="180" w:rightFromText="180" w:vertAnchor="text" w:horzAnchor="page" w:tblpX="1832" w:tblpY="3061"/>
        <w:tblOverlap w:val="never"/>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F9D05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noWrap w:val="0"/>
            <w:vAlign w:val="top"/>
          </w:tcPr>
          <w:p w14:paraId="6550D07E">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送</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内蒙古自治区农牧厅办公室</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财政</w:t>
            </w:r>
            <w:r>
              <w:rPr>
                <w:rFonts w:hint="eastAsia" w:ascii="Times New Roman" w:hAnsi="Times New Roman" w:eastAsia="仿宋_GB2312" w:cs="Times New Roman"/>
                <w:sz w:val="28"/>
                <w:szCs w:val="28"/>
                <w:highlight w:val="none"/>
                <w:lang w:eastAsia="zh-CN"/>
              </w:rPr>
              <w:t>厅</w:t>
            </w:r>
            <w:r>
              <w:rPr>
                <w:rFonts w:hint="default" w:ascii="Times New Roman" w:hAnsi="Times New Roman" w:eastAsia="仿宋_GB2312" w:cs="Times New Roman"/>
                <w:sz w:val="28"/>
                <w:szCs w:val="28"/>
                <w:highlight w:val="none"/>
                <w:lang w:val="en-US" w:eastAsia="zh-CN"/>
              </w:rPr>
              <w:t>办公</w:t>
            </w:r>
            <w:r>
              <w:rPr>
                <w:rFonts w:hint="eastAsia" w:ascii="Times New Roman" w:hAnsi="Times New Roman" w:eastAsia="仿宋_GB2312" w:cs="Times New Roman"/>
                <w:sz w:val="28"/>
                <w:szCs w:val="28"/>
                <w:highlight w:val="none"/>
                <w:lang w:val="en-US" w:eastAsia="zh-CN"/>
              </w:rPr>
              <w:t>室</w:t>
            </w:r>
          </w:p>
        </w:tc>
      </w:tr>
      <w:tr w14:paraId="79222FF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40" w:type="dxa"/>
            <w:noWrap w:val="0"/>
            <w:vAlign w:val="top"/>
          </w:tcPr>
          <w:p w14:paraId="67653670">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赤峰市农牧局</w:t>
            </w:r>
            <w:r>
              <w:rPr>
                <w:rFonts w:hint="default" w:ascii="Times New Roman" w:hAnsi="Times New Roman" w:eastAsia="仿宋_GB2312" w:cs="Times New Roman"/>
                <w:sz w:val="28"/>
                <w:szCs w:val="28"/>
                <w:highlight w:val="none"/>
              </w:rPr>
              <w:t xml:space="preserve">办公室       </w:t>
            </w:r>
            <w:r>
              <w:rPr>
                <w:rFonts w:hint="default" w:ascii="Times New Roman" w:hAnsi="Times New Roman" w:eastAsia="仿宋_GB2312" w:cs="Times New Roman"/>
                <w:sz w:val="28"/>
                <w:szCs w:val="28"/>
                <w:highlight w:val="none"/>
                <w:lang w:val="en"/>
              </w:rPr>
              <w:t xml:space="preserve"> </w:t>
            </w:r>
            <w:r>
              <w:rPr>
                <w:rFonts w:hint="default"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日印发</w:t>
            </w:r>
          </w:p>
        </w:tc>
      </w:tr>
    </w:tbl>
    <w:p w14:paraId="562D35E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B1F3FE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A3C4F2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01B4C1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C6F323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420039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BF54BB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45D287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02E09F5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203A3F5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13387F1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354330</wp:posOffset>
                </wp:positionV>
                <wp:extent cx="58293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5pt;margin-top:27.9pt;height:0pt;width:459pt;z-index:251662336;mso-width-relative:page;mso-height-relative:page;" filled="f" stroked="t" coordsize="21600,21600" o:gfxdata="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VMB09UA&#10;AAAJAQAADwAAAAAAAAABACAAAAAiAAAAZHJzL2Rvd25yZXYueG1sUEsBAhQAFAAAAAgAh07iQJYG&#10;sAzpAQAAuAMAAA4AAAAAAAAAAQAgAAAAJAEAAGRycy9lMm9Eb2MueG1sUEsFBgAAAAAGAAYAWQEA&#10;AH8FAAAAAA==&#10;">
                <v:fill on="f" focussize="0,0"/>
                <v:stroke color="#000000" joinstyle="round"/>
                <v:imagedata o:title=""/>
                <o:lock v:ext="edit" aspectratio="f"/>
              </v:line>
            </w:pict>
          </mc:Fallback>
        </mc:AlternateContent>
      </w:r>
    </w:p>
    <w:p w14:paraId="6AAFCD59">
      <w:pPr>
        <w:keepNext w:val="0"/>
        <w:keepLines w:val="0"/>
        <w:pageBreakBefore w:val="0"/>
        <w:widowControl w:val="0"/>
        <w:kinsoku/>
        <w:wordWrap/>
        <w:overflowPunct/>
        <w:topLinePunct w:val="0"/>
        <w:autoSpaceDE/>
        <w:autoSpaceDN/>
        <w:bidi w:val="0"/>
        <w:adjustRightInd/>
        <w:snapToGrid/>
        <w:spacing w:line="580" w:lineRule="exact"/>
        <w:ind w:firstLine="210" w:firstLineChars="100"/>
        <w:jc w:val="left"/>
        <w:textAlignment w:val="auto"/>
        <w:rPr>
          <w:rFonts w:hint="default"/>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428625</wp:posOffset>
                </wp:positionV>
                <wp:extent cx="58293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33.75pt;height:0pt;width:459pt;z-index:251661312;mso-width-relative:page;mso-height-relative:page;" filled="f" stroked="t" coordsize="21600,21600" o:gfxdata="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20xM3W&#10;AAAACQEAAA8AAAAAAAAAAQAgAAAAIgAAAGRycy9kb3ducmV2LnhtbFBLAQIUABQAAAAIAIdO4kB8&#10;LP3A6QEAALg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 w:eastAsia="仿宋_GB2312"/>
          <w:sz w:val="28"/>
          <w:szCs w:val="28"/>
        </w:rPr>
        <w:t xml:space="preserve">赤峰市农牧局办公室            　　　　 </w:t>
      </w:r>
      <w:r>
        <w:rPr>
          <w:rFonts w:ascii="仿宋_GB2312" w:hAnsi="仿宋" w:eastAsia="仿宋_GB2312"/>
          <w:sz w:val="28"/>
          <w:szCs w:val="28"/>
        </w:rPr>
        <w:t xml:space="preserve">   </w:t>
      </w:r>
      <w:r>
        <w:rPr>
          <w:rFonts w:hint="eastAsia" w:ascii="仿宋_GB2312" w:hAnsi="仿宋" w:eastAsia="仿宋_GB2312"/>
          <w:sz w:val="28"/>
          <w:szCs w:val="28"/>
        </w:rPr>
        <w:t>202</w:t>
      </w:r>
      <w:r>
        <w:rPr>
          <w:rFonts w:hint="eastAsia" w:ascii="仿宋_GB2312" w:hAnsi="仿宋" w:eastAsia="仿宋_GB2312"/>
          <w:sz w:val="28"/>
          <w:szCs w:val="28"/>
          <w:lang w:val="en-US" w:eastAsia="zh-CN"/>
        </w:rPr>
        <w:t>4</w:t>
      </w:r>
      <w:r>
        <w:rPr>
          <w:rFonts w:hint="eastAsia" w:ascii="仿宋_GB2312" w:hAnsi="仿宋" w:eastAsia="仿宋_GB2312"/>
          <w:sz w:val="28"/>
          <w:szCs w:val="28"/>
        </w:rPr>
        <w:t>年</w:t>
      </w:r>
      <w:r>
        <w:rPr>
          <w:rFonts w:hint="eastAsia" w:ascii="仿宋_GB2312" w:hAnsi="仿宋" w:eastAsia="仿宋_GB2312"/>
          <w:sz w:val="28"/>
          <w:szCs w:val="28"/>
          <w:lang w:val="en-US" w:eastAsia="zh-CN"/>
        </w:rPr>
        <w:t>8</w:t>
      </w:r>
      <w:r>
        <w:rPr>
          <w:rFonts w:hint="eastAsia" w:ascii="仿宋_GB2312" w:hAnsi="仿宋" w:eastAsia="仿宋_GB2312"/>
          <w:sz w:val="28"/>
          <w:szCs w:val="28"/>
        </w:rPr>
        <w:t>月</w:t>
      </w:r>
      <w:r>
        <w:rPr>
          <w:rFonts w:hint="eastAsia" w:ascii="仿宋_GB2312" w:hAnsi="仿宋" w:eastAsia="仿宋_GB2312"/>
          <w:sz w:val="28"/>
          <w:szCs w:val="28"/>
          <w:lang w:val="en-US" w:eastAsia="zh-CN"/>
        </w:rPr>
        <w:t>29</w:t>
      </w:r>
      <w:r>
        <w:rPr>
          <w:rFonts w:hint="eastAsia" w:ascii="仿宋_GB2312" w:hAnsi="仿宋" w:eastAsia="仿宋_GB2312"/>
          <w:sz w:val="28"/>
          <w:szCs w:val="28"/>
        </w:rPr>
        <w:t>日印发</w:t>
      </w:r>
    </w:p>
    <w:p w14:paraId="60ADFBFD">
      <w:pPr>
        <w:pStyle w:val="4"/>
        <w:widowControl/>
        <w:shd w:val="clear" w:fill="FFFFFF"/>
        <w:spacing w:before="0" w:beforeAutospacing="0" w:after="0" w:afterAutospacing="0" w:line="560" w:lineRule="exact"/>
        <w:ind w:right="0"/>
        <w:jc w:val="both"/>
        <w:rPr>
          <w:rFonts w:hint="default" w:ascii="仿宋" w:hAnsi="仿宋" w:eastAsia="仿宋" w:cs="仿宋"/>
          <w:color w:val="333333"/>
          <w:sz w:val="32"/>
          <w:szCs w:val="32"/>
          <w:shd w:val="clear" w:fill="FFFFFF"/>
          <w:lang w:val="en-US" w:eastAsia="zh-CN"/>
        </w:rPr>
      </w:pPr>
    </w:p>
    <w:p w14:paraId="02DC8D07">
      <w:pPr>
        <w:ind w:left="0" w:leftChars="0" w:firstLine="640" w:firstLineChars="200"/>
        <w:rPr>
          <w:rFonts w:hint="default"/>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161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DFC1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0DFC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6C8AA47"/>
    <w:multiLevelType w:val="singleLevel"/>
    <w:tmpl w:val="16C8AA47"/>
    <w:lvl w:ilvl="0" w:tentative="0">
      <w:start w:val="2"/>
      <w:numFmt w:val="decimal"/>
      <w:lvlText w:val="%1."/>
      <w:lvlJc w:val="left"/>
      <w:pPr>
        <w:tabs>
          <w:tab w:val="left" w:pos="312"/>
        </w:tabs>
      </w:pPr>
    </w:lvl>
  </w:abstractNum>
  <w:abstractNum w:abstractNumId="2">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jUyZDRjZWIxMGM1YmZiODAwMDdjZDI4N2MwN2QifQ=="/>
  </w:docVars>
  <w:rsids>
    <w:rsidRoot w:val="00000000"/>
    <w:rsid w:val="02521855"/>
    <w:rsid w:val="04802A74"/>
    <w:rsid w:val="05F2362B"/>
    <w:rsid w:val="0A0F4207"/>
    <w:rsid w:val="0CE43AD8"/>
    <w:rsid w:val="0D235551"/>
    <w:rsid w:val="0E6E058E"/>
    <w:rsid w:val="11A65EF9"/>
    <w:rsid w:val="14056BC3"/>
    <w:rsid w:val="155E203A"/>
    <w:rsid w:val="1ACD08AB"/>
    <w:rsid w:val="1F394761"/>
    <w:rsid w:val="226174DA"/>
    <w:rsid w:val="22BD7457"/>
    <w:rsid w:val="2569734E"/>
    <w:rsid w:val="25E82C2C"/>
    <w:rsid w:val="26D1527F"/>
    <w:rsid w:val="29004BEB"/>
    <w:rsid w:val="295B7F95"/>
    <w:rsid w:val="2CEF58FF"/>
    <w:rsid w:val="2E5549E7"/>
    <w:rsid w:val="2F381AC1"/>
    <w:rsid w:val="2F987C9D"/>
    <w:rsid w:val="302B4F4C"/>
    <w:rsid w:val="31A54B44"/>
    <w:rsid w:val="339B7340"/>
    <w:rsid w:val="341A4E65"/>
    <w:rsid w:val="42BB7EC1"/>
    <w:rsid w:val="42DB70EA"/>
    <w:rsid w:val="43030A5E"/>
    <w:rsid w:val="44BB06D3"/>
    <w:rsid w:val="44C21901"/>
    <w:rsid w:val="45B2550B"/>
    <w:rsid w:val="4D441003"/>
    <w:rsid w:val="4F206AF4"/>
    <w:rsid w:val="4F5370A0"/>
    <w:rsid w:val="4F6E1A67"/>
    <w:rsid w:val="4FAB32BC"/>
    <w:rsid w:val="522858FC"/>
    <w:rsid w:val="52CB04F5"/>
    <w:rsid w:val="5309451C"/>
    <w:rsid w:val="54273E81"/>
    <w:rsid w:val="59A31EB1"/>
    <w:rsid w:val="5E9B6682"/>
    <w:rsid w:val="5F554229"/>
    <w:rsid w:val="6A355C53"/>
    <w:rsid w:val="743D0242"/>
    <w:rsid w:val="74756994"/>
    <w:rsid w:val="74C31829"/>
    <w:rsid w:val="771542E1"/>
    <w:rsid w:val="780B1240"/>
    <w:rsid w:val="791B7DF3"/>
    <w:rsid w:val="7AA13047"/>
    <w:rsid w:val="7F38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5">
    <w:name w:val="Title"/>
    <w:basedOn w:val="1"/>
    <w:qFormat/>
    <w:uiPriority w:val="0"/>
    <w:pPr>
      <w:spacing w:before="240" w:after="60"/>
      <w:jc w:val="center"/>
      <w:outlineLvl w:val="0"/>
    </w:pPr>
    <w:rPr>
      <w:b/>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2142</Words>
  <Characters>2194</Characters>
  <Lines>0</Lines>
  <Paragraphs>0</Paragraphs>
  <TotalTime>1</TotalTime>
  <ScaleCrop>false</ScaleCrop>
  <LinksUpToDate>false</LinksUpToDate>
  <CharactersWithSpaces>2211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2024-08-18T14:58:00Z</dcterms:created>
  <dc:creator>Administrator</dc:creator>
  <cp:lastModifiedBy>漓霄赋</cp:lastModifiedBy>
  <cp:lastPrinted>2024-10-15T02:34:00Z</cp:lastPrinted>
  <dcterms:modified xsi:type="dcterms:W3CDTF">2024-10-28T01:17:19Z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AEBE55982E344128932A79FAA0FD4EF1_13</vt:lpwstr>
  </property>
</Properties>
</file>