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标准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有效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期：内蒙古农牧厅公布2024-2026年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农机报废补贴额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标准之前一直有效。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内蒙古自治区中央财政资金农机报废补贴额一览表</w:t>
      </w:r>
    </w:p>
    <w:p>
      <w:pPr>
        <w:ind w:firstLine="720" w:firstLineChars="20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854"/>
        <w:gridCol w:w="1691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机</w:t>
            </w:r>
            <w:r>
              <w:t xml:space="preserve">   </w:t>
            </w:r>
            <w:r>
              <w:rPr>
                <w:rFonts w:hint="eastAsia"/>
              </w:rPr>
              <w:t>型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类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报废年限（年）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补贴额（元）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轮式拖拉机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20</w:t>
            </w:r>
            <w:r>
              <w:rPr>
                <w:rFonts w:hint="eastAsia"/>
              </w:rPr>
              <w:t>马力以下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20-50</w:t>
            </w:r>
            <w:r>
              <w:rPr>
                <w:rFonts w:hint="eastAsia"/>
              </w:rPr>
              <w:t>马力（含）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50-80</w:t>
            </w:r>
            <w:r>
              <w:rPr>
                <w:rFonts w:hint="eastAsia"/>
              </w:rPr>
              <w:t>马力（含）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80-100</w:t>
            </w:r>
            <w:r>
              <w:rPr>
                <w:rFonts w:hint="eastAsia"/>
              </w:rPr>
              <w:t>马力（含）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100</w:t>
            </w:r>
            <w:r>
              <w:rPr>
                <w:rFonts w:hint="eastAsia"/>
              </w:rPr>
              <w:t>马力以上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自走式全喂入稻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麦联合收割机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</w:t>
            </w:r>
            <w:r>
              <w:t>0.5-1kg/s</w:t>
            </w:r>
            <w:r>
              <w:rPr>
                <w:rFonts w:hint="eastAsia"/>
              </w:rPr>
              <w:t>（含）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</w:t>
            </w:r>
            <w:r>
              <w:t>1-3kg/s</w:t>
            </w:r>
            <w:r>
              <w:rPr>
                <w:rFonts w:hint="eastAsia"/>
              </w:rPr>
              <w:t>（含）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</w:t>
            </w:r>
            <w:r>
              <w:t>3-4kg/s</w:t>
            </w:r>
            <w:r>
              <w:rPr>
                <w:rFonts w:hint="eastAsia"/>
              </w:rPr>
              <w:t>（含）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7300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喂入量</w:t>
            </w:r>
            <w:r>
              <w:t>4kg/s</w:t>
            </w:r>
            <w:r>
              <w:rPr>
                <w:rFonts w:hint="eastAsia"/>
              </w:rPr>
              <w:t>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自走式半喂入稻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麦联合收割机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3</w:t>
            </w:r>
            <w:r>
              <w:rPr>
                <w:rFonts w:hint="eastAsia"/>
              </w:rPr>
              <w:t>行，</w:t>
            </w:r>
            <w:r>
              <w:t>35</w:t>
            </w:r>
            <w:r>
              <w:rPr>
                <w:rFonts w:hint="eastAsia"/>
              </w:rPr>
              <w:t>马力（含）以上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4</w:t>
            </w:r>
            <w:r>
              <w:rPr>
                <w:rFonts w:hint="eastAsia"/>
              </w:rPr>
              <w:t>行（含）以上，</w:t>
            </w:r>
            <w:r>
              <w:t>35</w:t>
            </w:r>
            <w:r>
              <w:rPr>
                <w:rFonts w:hint="eastAsia"/>
              </w:rPr>
              <w:t>马力（含）以上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悬挂式玉米联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合收割机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1-2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3-4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自走式玉米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联合收割机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2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3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12500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  <w:r>
              <w:t>4</w:t>
            </w:r>
            <w:r>
              <w:rPr>
                <w:rFonts w:hint="eastAsia"/>
              </w:rPr>
              <w:t>行及以上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水稻插秧机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与手扶拖拉机配套；</w:t>
            </w:r>
            <w:r>
              <w:t xml:space="preserve"> 4</w:t>
            </w:r>
            <w:r>
              <w:rPr>
                <w:rFonts w:hint="eastAsia"/>
              </w:rPr>
              <w:t>行</w:t>
            </w:r>
            <w: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手扶步进式；</w:t>
            </w:r>
            <w:r>
              <w:t>2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手扶步进式；以手扶或微耕机底盘为基础且无底盘升降等装置；</w:t>
            </w:r>
            <w:r>
              <w:t>4</w:t>
            </w:r>
            <w:r>
              <w:rPr>
                <w:rFonts w:hint="eastAsia"/>
              </w:rPr>
              <w:t>行及以上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手扶步进式；</w:t>
            </w:r>
            <w:r>
              <w:t>4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手扶步进式；</w:t>
            </w:r>
            <w:r>
              <w:t>6</w:t>
            </w:r>
            <w:r>
              <w:rPr>
                <w:rFonts w:hint="eastAsia"/>
              </w:rPr>
              <w:t>行及以上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独轮乘坐式；</w:t>
            </w:r>
            <w:r>
              <w:t>6</w:t>
            </w:r>
            <w:r>
              <w:rPr>
                <w:rFonts w:hint="eastAsia"/>
              </w:rPr>
              <w:t>行及以上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四轮乘坐式；</w:t>
            </w:r>
            <w:r>
              <w:t>4</w:t>
            </w:r>
            <w:r>
              <w:rPr>
                <w:rFonts w:hint="eastAsia"/>
              </w:rPr>
              <w:t>行</w:t>
            </w:r>
            <w:r>
              <w:t xml:space="preserve"> 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四轮乘坐式；</w:t>
            </w:r>
            <w:r>
              <w:t>6</w:t>
            </w:r>
            <w:r>
              <w:rPr>
                <w:rFonts w:hint="eastAsia"/>
              </w:rPr>
              <w:t>、</w:t>
            </w:r>
            <w:r>
              <w:t>7</w:t>
            </w:r>
            <w:r>
              <w:rPr>
                <w:rFonts w:hint="eastAsia"/>
              </w:rPr>
              <w:t>行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四轮乘坐式；</w:t>
            </w:r>
            <w:r>
              <w:t>8</w:t>
            </w:r>
            <w:r>
              <w:rPr>
                <w:rFonts w:hint="eastAsia"/>
              </w:rPr>
              <w:t>行及以上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喷杆喷雾机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喷幅＜</w:t>
            </w:r>
            <w:r>
              <w:t>12m</w:t>
            </w:r>
            <w:r>
              <w:rPr>
                <w:rFonts w:hint="eastAsia"/>
              </w:rPr>
              <w:t>；形式：悬挂及牵引式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12m</w:t>
            </w:r>
            <w:r>
              <w:rPr>
                <w:rFonts w:hint="eastAsia"/>
              </w:rPr>
              <w:t>≤喷幅＜</w:t>
            </w:r>
            <w:r>
              <w:t>18m</w:t>
            </w:r>
            <w:r>
              <w:rPr>
                <w:rFonts w:hint="eastAsia"/>
              </w:rPr>
              <w:t>；形式：悬挂及牵引式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功率＜</w:t>
            </w:r>
            <w:r>
              <w:t>18</w:t>
            </w:r>
            <w:r>
              <w:rPr>
                <w:rFonts w:hint="eastAsia"/>
              </w:rPr>
              <w:t>马力；形式：自走式，四轮驱动、四轮转向（简）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功率＜</w:t>
            </w:r>
            <w:r>
              <w:t>18</w:t>
            </w:r>
            <w:r>
              <w:rPr>
                <w:rFonts w:hint="eastAsia"/>
              </w:rPr>
              <w:t>马力；形式：自走式，四轮驱动、四轮转向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喷幅≥</w:t>
            </w:r>
            <w:r>
              <w:t>18m</w:t>
            </w:r>
            <w:r>
              <w:rPr>
                <w:rFonts w:hint="eastAsia"/>
              </w:rPr>
              <w:t>；形式：悬挂及牵引式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18</w:t>
            </w:r>
            <w:r>
              <w:rPr>
                <w:rFonts w:hint="eastAsia"/>
              </w:rPr>
              <w:t>马力≤功率＜</w:t>
            </w:r>
            <w:r>
              <w:t>50</w:t>
            </w:r>
            <w:r>
              <w:rPr>
                <w:rFonts w:hint="eastAsia"/>
              </w:rPr>
              <w:t>马力；形式：自走式，四轮驱动、四轮转向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50</w:t>
            </w:r>
            <w:r>
              <w:rPr>
                <w:rFonts w:hint="eastAsia"/>
              </w:rPr>
              <w:t>马力≤功率＜</w:t>
            </w:r>
            <w:r>
              <w:t>100</w:t>
            </w:r>
            <w:r>
              <w:rPr>
                <w:rFonts w:hint="eastAsia"/>
              </w:rPr>
              <w:t>马力；形式：自走式，四轮驱动、四轮转向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功率≥</w:t>
            </w:r>
            <w:r>
              <w:t>100</w:t>
            </w:r>
            <w:r>
              <w:rPr>
                <w:rFonts w:hint="eastAsia"/>
              </w:rPr>
              <w:t>马力；形式：自走式，四轮驱动、四轮转向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玉米脱粒机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3t/h</w:t>
            </w:r>
            <w:r>
              <w:rPr>
                <w:rFonts w:hint="eastAsia"/>
              </w:rPr>
              <w:t>≤生产率＜</w:t>
            </w:r>
            <w:r>
              <w:t>5t/h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5t/h</w:t>
            </w:r>
            <w:r>
              <w:rPr>
                <w:rFonts w:hint="eastAsia"/>
              </w:rPr>
              <w:t>≤生产率＜</w:t>
            </w:r>
            <w:r>
              <w:t>10t/h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10t/h</w:t>
            </w:r>
            <w:r>
              <w:rPr>
                <w:rFonts w:hint="eastAsia"/>
              </w:rPr>
              <w:t>≤生产率＜</w:t>
            </w:r>
            <w:r>
              <w:t>30t/h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生产率≥</w:t>
            </w:r>
            <w:r>
              <w:t>30t/h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饲料（草）粉碎机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400mm</w:t>
            </w:r>
            <w:r>
              <w:rPr>
                <w:rFonts w:hint="eastAsia"/>
              </w:rPr>
              <w:t>≤转子直径＜</w:t>
            </w:r>
            <w:r>
              <w:t>550mm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配套功率小于等于</w:t>
            </w:r>
            <w:r>
              <w:rPr>
                <w:color w:val="000000"/>
                <w:sz w:val="22"/>
              </w:rPr>
              <w:t>18kW</w:t>
            </w:r>
            <w:r>
              <w:rPr>
                <w:rFonts w:hint="eastAsia"/>
                <w:color w:val="000000"/>
                <w:sz w:val="22"/>
              </w:rPr>
              <w:t>的</w:t>
            </w:r>
            <w:r>
              <w:rPr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年，大于等于</w:t>
            </w:r>
            <w:r>
              <w:rPr>
                <w:color w:val="000000"/>
                <w:sz w:val="22"/>
              </w:rPr>
              <w:t>18kW</w:t>
            </w:r>
            <w:r>
              <w:rPr>
                <w:rFonts w:hint="eastAsia"/>
                <w:color w:val="000000"/>
                <w:sz w:val="22"/>
              </w:rPr>
              <w:t>的</w:t>
            </w:r>
            <w:r>
              <w:rPr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转子直径≥</w:t>
            </w:r>
            <w:r>
              <w:t>550mm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铡草机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6t/h</w:t>
            </w:r>
            <w:r>
              <w:rPr>
                <w:rFonts w:hint="eastAsia"/>
              </w:rPr>
              <w:t>≤生产率＜</w:t>
            </w:r>
            <w:r>
              <w:t>9t/h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9t/h</w:t>
            </w:r>
            <w:r>
              <w:rPr>
                <w:rFonts w:hint="eastAsia"/>
              </w:rPr>
              <w:t>≤生产率＜</w:t>
            </w:r>
            <w:r>
              <w:t>15t/h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t>15t/h</w:t>
            </w:r>
            <w:r>
              <w:rPr>
                <w:rFonts w:hint="eastAsia"/>
              </w:rPr>
              <w:t>≤生产率＜</w:t>
            </w:r>
            <w:r>
              <w:t>20t/h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生产率≥</w:t>
            </w:r>
            <w:r>
              <w:t>20t/h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635"/>
        <w:jc w:val="both"/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162560</wp:posOffset>
              </wp:positionV>
              <wp:extent cx="77470" cy="762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8pt;height:60pt;width:6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OV2rNMAAAAGAQAADwAAAAAAAAABACAAAAAiAAAAZHJzL2Rv&#10;d25yZXYueG1sUEsBAhQAFAAAAAgAh07iQOmd6+PNAQAAp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>2-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NzhjNWFmN2U0OTlkMjA2NmZiMmI4YjExYmYxOTMifQ=="/>
  </w:docVars>
  <w:rsids>
    <w:rsidRoot w:val="00ED7545"/>
    <w:rsid w:val="00014039"/>
    <w:rsid w:val="000F3009"/>
    <w:rsid w:val="0012782E"/>
    <w:rsid w:val="00165F69"/>
    <w:rsid w:val="00171493"/>
    <w:rsid w:val="00171D8A"/>
    <w:rsid w:val="001B1D68"/>
    <w:rsid w:val="001F4D59"/>
    <w:rsid w:val="002373AA"/>
    <w:rsid w:val="002516F3"/>
    <w:rsid w:val="002C58C1"/>
    <w:rsid w:val="002C6465"/>
    <w:rsid w:val="002D32B4"/>
    <w:rsid w:val="002D7D2F"/>
    <w:rsid w:val="00334E1A"/>
    <w:rsid w:val="00377609"/>
    <w:rsid w:val="00396A67"/>
    <w:rsid w:val="003A4466"/>
    <w:rsid w:val="003A6D44"/>
    <w:rsid w:val="00423FF1"/>
    <w:rsid w:val="0043627C"/>
    <w:rsid w:val="0048621D"/>
    <w:rsid w:val="004B730A"/>
    <w:rsid w:val="004D02F8"/>
    <w:rsid w:val="004D4F18"/>
    <w:rsid w:val="004E45C3"/>
    <w:rsid w:val="00520CAA"/>
    <w:rsid w:val="00522926"/>
    <w:rsid w:val="00524A2F"/>
    <w:rsid w:val="00587548"/>
    <w:rsid w:val="00590870"/>
    <w:rsid w:val="00604FC2"/>
    <w:rsid w:val="00617404"/>
    <w:rsid w:val="00656A88"/>
    <w:rsid w:val="00682105"/>
    <w:rsid w:val="00696F14"/>
    <w:rsid w:val="006B25AE"/>
    <w:rsid w:val="00742EE8"/>
    <w:rsid w:val="00743E5C"/>
    <w:rsid w:val="00757CAA"/>
    <w:rsid w:val="007604F8"/>
    <w:rsid w:val="00765865"/>
    <w:rsid w:val="007C37CA"/>
    <w:rsid w:val="007E63D5"/>
    <w:rsid w:val="007F0FF2"/>
    <w:rsid w:val="007F5984"/>
    <w:rsid w:val="007F792A"/>
    <w:rsid w:val="008131D2"/>
    <w:rsid w:val="008530B7"/>
    <w:rsid w:val="0085322A"/>
    <w:rsid w:val="00876230"/>
    <w:rsid w:val="00887801"/>
    <w:rsid w:val="00893838"/>
    <w:rsid w:val="008B0878"/>
    <w:rsid w:val="008B4CCA"/>
    <w:rsid w:val="0090473A"/>
    <w:rsid w:val="009314A0"/>
    <w:rsid w:val="009455F3"/>
    <w:rsid w:val="00947459"/>
    <w:rsid w:val="00950600"/>
    <w:rsid w:val="00970275"/>
    <w:rsid w:val="009A19AD"/>
    <w:rsid w:val="009B0B16"/>
    <w:rsid w:val="00A212D4"/>
    <w:rsid w:val="00A23318"/>
    <w:rsid w:val="00A2705B"/>
    <w:rsid w:val="00A97FF7"/>
    <w:rsid w:val="00AA4635"/>
    <w:rsid w:val="00AC5EA5"/>
    <w:rsid w:val="00B34042"/>
    <w:rsid w:val="00B64C1D"/>
    <w:rsid w:val="00BC52FD"/>
    <w:rsid w:val="00BF0FBC"/>
    <w:rsid w:val="00C10599"/>
    <w:rsid w:val="00C35B24"/>
    <w:rsid w:val="00C35E88"/>
    <w:rsid w:val="00C77748"/>
    <w:rsid w:val="00C802A1"/>
    <w:rsid w:val="00C90C9C"/>
    <w:rsid w:val="00CC265D"/>
    <w:rsid w:val="00D1209B"/>
    <w:rsid w:val="00D36622"/>
    <w:rsid w:val="00D55207"/>
    <w:rsid w:val="00D90898"/>
    <w:rsid w:val="00D94B3F"/>
    <w:rsid w:val="00DA02D5"/>
    <w:rsid w:val="00DC0FAA"/>
    <w:rsid w:val="00DD740C"/>
    <w:rsid w:val="00DE14C4"/>
    <w:rsid w:val="00E25D88"/>
    <w:rsid w:val="00E30544"/>
    <w:rsid w:val="00E33E45"/>
    <w:rsid w:val="00E43AFD"/>
    <w:rsid w:val="00E9687C"/>
    <w:rsid w:val="00EB7B3D"/>
    <w:rsid w:val="00ED7545"/>
    <w:rsid w:val="00EE0C29"/>
    <w:rsid w:val="00F25D48"/>
    <w:rsid w:val="00F32833"/>
    <w:rsid w:val="00F45F68"/>
    <w:rsid w:val="00F655FC"/>
    <w:rsid w:val="00F720B8"/>
    <w:rsid w:val="00FA2106"/>
    <w:rsid w:val="00FE709B"/>
    <w:rsid w:val="174F56FF"/>
    <w:rsid w:val="431F38AF"/>
    <w:rsid w:val="43236F96"/>
    <w:rsid w:val="4B16217D"/>
    <w:rsid w:val="59FD4565"/>
    <w:rsid w:val="65706A33"/>
    <w:rsid w:val="660A07D9"/>
    <w:rsid w:val="70857B52"/>
    <w:rsid w:val="7F372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widowControl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 Char Char"/>
    <w:link w:val="3"/>
    <w:semiHidden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664</Words>
  <Characters>937</Characters>
  <Lines>8</Lines>
  <Paragraphs>2</Paragraphs>
  <TotalTime>2</TotalTime>
  <ScaleCrop>false</ScaleCrop>
  <LinksUpToDate>false</LinksUpToDate>
  <CharactersWithSpaces>947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2024-06-13T03:57:00Z</dcterms:created>
  <dc:creator>Microsoft</dc:creator>
  <cp:lastModifiedBy>漓霄赋</cp:lastModifiedBy>
  <dcterms:modified xsi:type="dcterms:W3CDTF">2024-06-14T02:36:38Z</dcterms:modified>
  <dc:title>根据《内蒙古自治区农牧厅、财政厅、商务厅关于印发&lt;内蒙古自治区农业机械报废更新补贴实施方案&gt;》(内农牧机发〔2020〕280号)的通知的通知》(农办机〔2020〕2号)，结合松山区实际，制订本实施方案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EF15AC2A86B84E9D984C5BD30B3FA503_13</vt:lpwstr>
  </property>
</Properties>
</file>